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5"/>
        </w:tabs>
        <w:jc w:val="left"/>
        <w:rPr>
          <w:rFonts w:ascii="黑体" w:hAnsi="黑体" w:eastAsia="黑体"/>
          <w:color w:val="000000"/>
          <w:sz w:val="32"/>
          <w:szCs w:val="32"/>
        </w:rPr>
      </w:pPr>
      <w:r>
        <w:rPr>
          <w:rFonts w:hint="eastAsia" w:ascii="黑体" w:hAnsi="黑体" w:eastAsia="黑体"/>
          <w:color w:val="000000"/>
          <w:sz w:val="32"/>
          <w:szCs w:val="32"/>
        </w:rPr>
        <w:t>附件1</w:t>
      </w:r>
    </w:p>
    <w:p>
      <w:pPr>
        <w:spacing w:afterLines="50" w:line="320" w:lineRule="exact"/>
        <w:jc w:val="center"/>
        <w:rPr>
          <w:rFonts w:asciiTheme="minorEastAsia" w:hAnsiTheme="minorEastAsia"/>
          <w:b/>
          <w:color w:val="000000"/>
          <w:sz w:val="32"/>
          <w:szCs w:val="32"/>
        </w:rPr>
      </w:pPr>
      <w:r>
        <w:rPr>
          <w:rFonts w:hint="eastAsia" w:asciiTheme="minorEastAsia" w:hAnsiTheme="minorEastAsia"/>
          <w:b/>
          <w:color w:val="000000"/>
          <w:sz w:val="32"/>
          <w:szCs w:val="32"/>
        </w:rPr>
        <w:t>集中培训主讲专家及讲座专题简介</w:t>
      </w:r>
    </w:p>
    <w:tbl>
      <w:tblPr>
        <w:tblStyle w:val="5"/>
        <w:tblW w:w="13887" w:type="dxa"/>
        <w:jc w:val="center"/>
        <w:tblInd w:w="0" w:type="dxa"/>
        <w:tblLayout w:type="fixed"/>
        <w:tblCellMar>
          <w:top w:w="0" w:type="dxa"/>
          <w:left w:w="108" w:type="dxa"/>
          <w:bottom w:w="0" w:type="dxa"/>
          <w:right w:w="108" w:type="dxa"/>
        </w:tblCellMar>
      </w:tblPr>
      <w:tblGrid>
        <w:gridCol w:w="704"/>
        <w:gridCol w:w="851"/>
        <w:gridCol w:w="1275"/>
        <w:gridCol w:w="4962"/>
        <w:gridCol w:w="6095"/>
      </w:tblGrid>
      <w:tr>
        <w:tblPrEx>
          <w:tblLayout w:type="fixed"/>
          <w:tblCellMar>
            <w:top w:w="0" w:type="dxa"/>
            <w:left w:w="108" w:type="dxa"/>
            <w:bottom w:w="0" w:type="dxa"/>
            <w:right w:w="108" w:type="dxa"/>
          </w:tblCellMar>
        </w:tblPrEx>
        <w:trPr>
          <w:trHeight w:val="48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学科</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授课专家</w:t>
            </w:r>
          </w:p>
        </w:tc>
        <w:tc>
          <w:tcPr>
            <w:tcW w:w="49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讲座专题名称</w:t>
            </w:r>
          </w:p>
        </w:tc>
        <w:tc>
          <w:tcPr>
            <w:tcW w:w="60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专家</w:t>
            </w:r>
            <w:r>
              <w:rPr>
                <w:rFonts w:ascii="仿宋" w:hAnsi="仿宋" w:eastAsia="仿宋" w:cs="宋体"/>
                <w:b/>
                <w:bCs/>
                <w:kern w:val="0"/>
                <w:sz w:val="24"/>
                <w:szCs w:val="24"/>
              </w:rPr>
              <w:t>简介</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语文</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丁亚宏</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全国高考试卷命题分析及复习教学指导（语文）</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丁亚宏，河南省基础教育教学研究室文科一室主任，中学语文学科组组长，中学语文特级教师，正高级教师。从事教学工作，获河南省高中语文优质课大赛一等奖，河南省十佳青年语文教师。从事教研工作，被评为河南省优秀教师，河南省教育厅学术技术带头人，河南省教学标兵，河南省教师教育专家，全国特色教育优秀教师。</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数学</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黄仁寿</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全国高考试卷命题分析及复习教学指导（数学）</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黄仁寿，全国中学数学教学研究专业委员会常务理事，湖南省中学数学教学研究专业委员会秘书长，湖南省教育科学研究院数学教研员。有丰富的教学实践体验，曾担任湖南省理科实验班班主任兼数学竞赛教练十年，2018年荣获全国苏步青数学教育二等奖。</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英语</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伍家文</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全国高考试卷命题分析及复习教学指导（英语）</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伍家文，重庆市教育学会学术委员，重庆市教育学会中小学外语教学专业委员会副理事长，学术部副主任。国家基础教育实验中心外语教育研究中心副主任。重庆市高考英语学科阅卷指导委员。重庆市基础教育质量监测督导专家。</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物理</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伏森泉</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全国高考试卷命题分析及复习教学指导（物理）</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伏森泉，湖北省武汉市教育科学研究院中学教研室物理教研员，中学高级教师，武汉市学科带头人。普通高中物理课程标准修订组成员，人民教育出版社教材编写组成员，湖北省基础教育中学物理教学指导委员会委员，湖北省教育学会中学物理专业委员会副秘书长，湖北省学业水平考试大纲编写负责人。</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化学</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陈颖</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全国高考试卷命题分析及复习教学指导（化学）</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陈颖，北京市海淀区教师进修学校化学教研员、高中教研室主任，北京市化学学科带头人。作为执行负责人或核心成员参与“初中化学教学关键问题”、“深度学习促教学改进”等多项课题研究。北师大化学教育研究所“高端备课”项目组专家，指导北京市海淀、丰台、朝阳、西城等区县的一线化学教师开展课例研究，所指导的研究课在历届全国化学新课程成果交流大会中取得优秀成绩。</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生物</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杨亚琴</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全国高考试卷命题分析及复习教学指导（生物）</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杨亚琴，华中师大一附中高级教师。武汉市高三中心备课组成员，连续多年参加武汉市二月、四月调考命题。多次在武汉市、湖北省二轮复习备考会议中主讲《实验专题复习》《命题、选题、解题》等专题报告。</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政治</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刘媛</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全国高考试卷命题分析及复习教学指导（政治）</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刘媛，北京市教科院基础教研中心教研员，高考命题研究专家、学科专家、学科带头人，指导高考备考与试题命题工作多年。多次参加北京市考试命题与试题评价工作。任北京考试院试题评价专家，教育部普通高中新课程思想政治国家级远程培训课程团队专家，教育部“国培项目”授课教师，人民教育出版社 “高中政治”培训团专家。</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历史</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魏恤民</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全国高考试卷命题分析及复习教学指导（历史）</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魏恤民，广东省教育研究院教研室课程科主任、中学历史教研员。中学正高级教师、中学特级教师。国务院教育督导委员会对省级人民政府履行教育职责督导专家库专家。教育部第二届基础教育课程教材专家工作委员会委员，教育部普通高中历史课程标准修订组核心成员，教育部义务教育历史课程标准修订组专家。</w:t>
            </w:r>
          </w:p>
        </w:tc>
      </w:tr>
      <w:tr>
        <w:tblPrEx>
          <w:tblLayout w:type="fixed"/>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地理</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4"/>
              </w:rPr>
            </w:pPr>
            <w:r>
              <w:rPr>
                <w:rFonts w:hint="eastAsia" w:ascii="仿宋" w:hAnsi="仿宋" w:eastAsia="仿宋" w:cs="宋体"/>
                <w:kern w:val="0"/>
                <w:sz w:val="22"/>
                <w:szCs w:val="24"/>
              </w:rPr>
              <w:t>郭剑锋</w:t>
            </w:r>
          </w:p>
        </w:tc>
        <w:tc>
          <w:tcPr>
            <w:tcW w:w="4962"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4"/>
              </w:rPr>
            </w:pPr>
            <w:r>
              <w:rPr>
                <w:rFonts w:hint="eastAsia" w:ascii="仿宋" w:hAnsi="仿宋" w:eastAsia="仿宋" w:cs="宋体"/>
                <w:kern w:val="0"/>
                <w:sz w:val="22"/>
                <w:szCs w:val="24"/>
              </w:rPr>
              <w:t>全国高考试卷命题分析及复习教学指导（地理）</w:t>
            </w:r>
          </w:p>
        </w:tc>
        <w:tc>
          <w:tcPr>
            <w:tcW w:w="6095"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4"/>
              </w:rPr>
            </w:pPr>
            <w:r>
              <w:rPr>
                <w:rFonts w:hint="eastAsia" w:ascii="仿宋" w:hAnsi="仿宋" w:eastAsia="仿宋" w:cs="宋体"/>
                <w:kern w:val="0"/>
                <w:sz w:val="20"/>
                <w:szCs w:val="24"/>
              </w:rPr>
              <w:t>郭剑峰，浙江省教育厅教研室高中地理教研员，高中部副主任；浙江省特级教师。曾获中国地理学会全国优秀中学地理教育工作者称号；中国教育学会地理教学专业委员会理事；浙江教育学会地理教学分会副理事长兼秘书长；浙江省地理学会副理事长；浙江气象学会理事；浙江省基础教育课程改革专业指导委员会高中地理组组长；长三角基础教育高中地理学科专家。</w:t>
            </w:r>
          </w:p>
        </w:tc>
      </w:tr>
    </w:tbl>
    <w:p>
      <w:pPr>
        <w:spacing w:line="320" w:lineRule="exact"/>
        <w:jc w:val="center"/>
        <w:rPr>
          <w:rFonts w:ascii="仿宋_GB2312" w:hAnsi="仿宋" w:eastAsia="仿宋_GB2312"/>
          <w:color w:val="000000"/>
          <w:sz w:val="28"/>
          <w:szCs w:val="32"/>
        </w:rPr>
      </w:pPr>
    </w:p>
    <w:p>
      <w:pPr>
        <w:spacing w:line="320" w:lineRule="exact"/>
        <w:jc w:val="left"/>
        <w:rPr>
          <w:rFonts w:ascii="仿宋" w:hAnsi="仿宋" w:eastAsia="仿宋" w:cs="仿宋_GB2312"/>
          <w:kern w:val="0"/>
          <w:sz w:val="28"/>
          <w:szCs w:val="32"/>
        </w:rPr>
      </w:pPr>
      <w:r>
        <w:rPr>
          <w:rFonts w:hint="eastAsia" w:ascii="仿宋" w:hAnsi="仿宋" w:eastAsia="仿宋"/>
          <w:color w:val="000000"/>
          <w:sz w:val="28"/>
          <w:szCs w:val="32"/>
        </w:rPr>
        <w:t>（以上专题或讲授专家如有变动，以正式培训时发布信息为准）</w:t>
      </w:r>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00648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ind w:left="210" w:left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1795"/>
    <w:rsid w:val="0000788D"/>
    <w:rsid w:val="00026DC3"/>
    <w:rsid w:val="00031246"/>
    <w:rsid w:val="00040718"/>
    <w:rsid w:val="0005108E"/>
    <w:rsid w:val="0005213A"/>
    <w:rsid w:val="0007673C"/>
    <w:rsid w:val="00076ACD"/>
    <w:rsid w:val="00080A44"/>
    <w:rsid w:val="000A27E9"/>
    <w:rsid w:val="000B37C5"/>
    <w:rsid w:val="000B41C6"/>
    <w:rsid w:val="000B7B6F"/>
    <w:rsid w:val="000D16C7"/>
    <w:rsid w:val="000D6045"/>
    <w:rsid w:val="000E104A"/>
    <w:rsid w:val="000E4296"/>
    <w:rsid w:val="000E5BF4"/>
    <w:rsid w:val="000F3B78"/>
    <w:rsid w:val="000F6899"/>
    <w:rsid w:val="001042B1"/>
    <w:rsid w:val="00107AC2"/>
    <w:rsid w:val="00115F2D"/>
    <w:rsid w:val="00136665"/>
    <w:rsid w:val="001369FA"/>
    <w:rsid w:val="00143472"/>
    <w:rsid w:val="00186C6D"/>
    <w:rsid w:val="00190F04"/>
    <w:rsid w:val="001A046F"/>
    <w:rsid w:val="001A3CB9"/>
    <w:rsid w:val="001A6EA7"/>
    <w:rsid w:val="001A718A"/>
    <w:rsid w:val="001A73CA"/>
    <w:rsid w:val="001C0DDE"/>
    <w:rsid w:val="001C3D67"/>
    <w:rsid w:val="001E712C"/>
    <w:rsid w:val="001F4FDB"/>
    <w:rsid w:val="001F7C93"/>
    <w:rsid w:val="00220F6E"/>
    <w:rsid w:val="002425BE"/>
    <w:rsid w:val="0026416F"/>
    <w:rsid w:val="002754F7"/>
    <w:rsid w:val="002A7AAC"/>
    <w:rsid w:val="002C6F01"/>
    <w:rsid w:val="002D00DB"/>
    <w:rsid w:val="002D60AE"/>
    <w:rsid w:val="00317DF8"/>
    <w:rsid w:val="00334AA9"/>
    <w:rsid w:val="00343F99"/>
    <w:rsid w:val="00345737"/>
    <w:rsid w:val="00345897"/>
    <w:rsid w:val="00346D5D"/>
    <w:rsid w:val="00347670"/>
    <w:rsid w:val="00363558"/>
    <w:rsid w:val="003766F5"/>
    <w:rsid w:val="00381CAA"/>
    <w:rsid w:val="003850EC"/>
    <w:rsid w:val="00396D29"/>
    <w:rsid w:val="003B3B54"/>
    <w:rsid w:val="003C68F5"/>
    <w:rsid w:val="003D1795"/>
    <w:rsid w:val="003E3B3E"/>
    <w:rsid w:val="003F069E"/>
    <w:rsid w:val="003F0B37"/>
    <w:rsid w:val="00400896"/>
    <w:rsid w:val="00405181"/>
    <w:rsid w:val="004058CA"/>
    <w:rsid w:val="00417E5D"/>
    <w:rsid w:val="00422762"/>
    <w:rsid w:val="004330E0"/>
    <w:rsid w:val="00444248"/>
    <w:rsid w:val="00477D64"/>
    <w:rsid w:val="004817E8"/>
    <w:rsid w:val="004A0127"/>
    <w:rsid w:val="004B2EE7"/>
    <w:rsid w:val="004B6915"/>
    <w:rsid w:val="004B6B73"/>
    <w:rsid w:val="004B765D"/>
    <w:rsid w:val="004C756F"/>
    <w:rsid w:val="004D3F9E"/>
    <w:rsid w:val="004E549D"/>
    <w:rsid w:val="004F6A6D"/>
    <w:rsid w:val="00501EBD"/>
    <w:rsid w:val="00511344"/>
    <w:rsid w:val="00525586"/>
    <w:rsid w:val="00530521"/>
    <w:rsid w:val="005324C5"/>
    <w:rsid w:val="005367D1"/>
    <w:rsid w:val="00540421"/>
    <w:rsid w:val="0054192A"/>
    <w:rsid w:val="005579F2"/>
    <w:rsid w:val="00561841"/>
    <w:rsid w:val="00574D69"/>
    <w:rsid w:val="005A2DBD"/>
    <w:rsid w:val="005B05D5"/>
    <w:rsid w:val="005B0FAD"/>
    <w:rsid w:val="005C7B27"/>
    <w:rsid w:val="005D3071"/>
    <w:rsid w:val="005D3084"/>
    <w:rsid w:val="005D3245"/>
    <w:rsid w:val="005D4712"/>
    <w:rsid w:val="005E7FBD"/>
    <w:rsid w:val="005F674C"/>
    <w:rsid w:val="00605EA5"/>
    <w:rsid w:val="00611F4B"/>
    <w:rsid w:val="006123FB"/>
    <w:rsid w:val="0066183D"/>
    <w:rsid w:val="00673909"/>
    <w:rsid w:val="006766EA"/>
    <w:rsid w:val="00682C97"/>
    <w:rsid w:val="006A1012"/>
    <w:rsid w:val="006B1768"/>
    <w:rsid w:val="006B524A"/>
    <w:rsid w:val="006C3A84"/>
    <w:rsid w:val="006D0376"/>
    <w:rsid w:val="0070467A"/>
    <w:rsid w:val="00704C4C"/>
    <w:rsid w:val="00706177"/>
    <w:rsid w:val="007117E2"/>
    <w:rsid w:val="00725A2B"/>
    <w:rsid w:val="00771DDC"/>
    <w:rsid w:val="00784536"/>
    <w:rsid w:val="007848B2"/>
    <w:rsid w:val="00790E71"/>
    <w:rsid w:val="007B1EBE"/>
    <w:rsid w:val="007D0F09"/>
    <w:rsid w:val="007E12A4"/>
    <w:rsid w:val="007F77E8"/>
    <w:rsid w:val="008040E0"/>
    <w:rsid w:val="00806B6D"/>
    <w:rsid w:val="00814858"/>
    <w:rsid w:val="00821E51"/>
    <w:rsid w:val="00833125"/>
    <w:rsid w:val="00844C19"/>
    <w:rsid w:val="008627D5"/>
    <w:rsid w:val="00867BBD"/>
    <w:rsid w:val="00875D8C"/>
    <w:rsid w:val="008828D6"/>
    <w:rsid w:val="008C10CE"/>
    <w:rsid w:val="008C6683"/>
    <w:rsid w:val="008D07FB"/>
    <w:rsid w:val="008D1E8F"/>
    <w:rsid w:val="008D291A"/>
    <w:rsid w:val="00902322"/>
    <w:rsid w:val="00904091"/>
    <w:rsid w:val="0091678B"/>
    <w:rsid w:val="00927E3B"/>
    <w:rsid w:val="0094108E"/>
    <w:rsid w:val="00947718"/>
    <w:rsid w:val="009574B1"/>
    <w:rsid w:val="0097426E"/>
    <w:rsid w:val="00975BF4"/>
    <w:rsid w:val="009820ED"/>
    <w:rsid w:val="0098227E"/>
    <w:rsid w:val="009972B7"/>
    <w:rsid w:val="009C7AF7"/>
    <w:rsid w:val="009F08F8"/>
    <w:rsid w:val="009F4AC3"/>
    <w:rsid w:val="00A261FD"/>
    <w:rsid w:val="00A60E1E"/>
    <w:rsid w:val="00A62DB3"/>
    <w:rsid w:val="00A6393B"/>
    <w:rsid w:val="00AA24ED"/>
    <w:rsid w:val="00AB7AC3"/>
    <w:rsid w:val="00AC5915"/>
    <w:rsid w:val="00AE5C3A"/>
    <w:rsid w:val="00AE684F"/>
    <w:rsid w:val="00B00900"/>
    <w:rsid w:val="00B232CD"/>
    <w:rsid w:val="00B2510D"/>
    <w:rsid w:val="00B25B3F"/>
    <w:rsid w:val="00B32236"/>
    <w:rsid w:val="00B32659"/>
    <w:rsid w:val="00B35496"/>
    <w:rsid w:val="00B47E17"/>
    <w:rsid w:val="00B72A88"/>
    <w:rsid w:val="00B81C20"/>
    <w:rsid w:val="00B84FA7"/>
    <w:rsid w:val="00B86AD1"/>
    <w:rsid w:val="00B9473D"/>
    <w:rsid w:val="00B97DCD"/>
    <w:rsid w:val="00BA7D0D"/>
    <w:rsid w:val="00BB479F"/>
    <w:rsid w:val="00BE3CFD"/>
    <w:rsid w:val="00BF0A47"/>
    <w:rsid w:val="00C04F29"/>
    <w:rsid w:val="00C30B45"/>
    <w:rsid w:val="00C45405"/>
    <w:rsid w:val="00C92664"/>
    <w:rsid w:val="00CA0A2D"/>
    <w:rsid w:val="00CC04A0"/>
    <w:rsid w:val="00CD3539"/>
    <w:rsid w:val="00CE1EEB"/>
    <w:rsid w:val="00CF0BC0"/>
    <w:rsid w:val="00CF5558"/>
    <w:rsid w:val="00CF7A75"/>
    <w:rsid w:val="00D12714"/>
    <w:rsid w:val="00D17958"/>
    <w:rsid w:val="00D209AD"/>
    <w:rsid w:val="00D364E5"/>
    <w:rsid w:val="00D466D2"/>
    <w:rsid w:val="00D473D0"/>
    <w:rsid w:val="00D524FF"/>
    <w:rsid w:val="00D641DF"/>
    <w:rsid w:val="00D652CF"/>
    <w:rsid w:val="00D80266"/>
    <w:rsid w:val="00D8643B"/>
    <w:rsid w:val="00D9484E"/>
    <w:rsid w:val="00DB0017"/>
    <w:rsid w:val="00DB46EC"/>
    <w:rsid w:val="00DB6C99"/>
    <w:rsid w:val="00DC258D"/>
    <w:rsid w:val="00DE5E50"/>
    <w:rsid w:val="00DF52F9"/>
    <w:rsid w:val="00DF6F6D"/>
    <w:rsid w:val="00E22805"/>
    <w:rsid w:val="00E6437A"/>
    <w:rsid w:val="00E81E68"/>
    <w:rsid w:val="00EA034C"/>
    <w:rsid w:val="00EB0734"/>
    <w:rsid w:val="00EB5C8B"/>
    <w:rsid w:val="00ED7D4F"/>
    <w:rsid w:val="00EE6873"/>
    <w:rsid w:val="00EF4C5B"/>
    <w:rsid w:val="00F16C72"/>
    <w:rsid w:val="00F22626"/>
    <w:rsid w:val="00F25090"/>
    <w:rsid w:val="00F26C21"/>
    <w:rsid w:val="00F3633D"/>
    <w:rsid w:val="00F375C3"/>
    <w:rsid w:val="00F516F0"/>
    <w:rsid w:val="00F70B14"/>
    <w:rsid w:val="00FB50E1"/>
    <w:rsid w:val="00FB6DBC"/>
    <w:rsid w:val="00FC2639"/>
    <w:rsid w:val="00FD3C23"/>
    <w:rsid w:val="00FD5965"/>
    <w:rsid w:val="00FE71A2"/>
    <w:rsid w:val="00FF2181"/>
    <w:rsid w:val="4B441F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954F72" w:themeColor="followedHyperlink"/>
      <w:u w:val="single"/>
    </w:rPr>
  </w:style>
  <w:style w:type="character" w:styleId="8">
    <w:name w:val="Hyperlink"/>
    <w:basedOn w:val="6"/>
    <w:unhideWhenUsed/>
    <w:uiPriority w:val="99"/>
    <w:rPr>
      <w:color w:val="0563C1" w:themeColor="hyperlink"/>
      <w:u w:val="single"/>
    </w:rPr>
  </w:style>
  <w:style w:type="character" w:customStyle="1" w:styleId="9">
    <w:name w:val="批注框文本 Char"/>
    <w:basedOn w:val="6"/>
    <w:link w:val="2"/>
    <w:semiHidden/>
    <w:uiPriority w:val="99"/>
    <w:rPr>
      <w:sz w:val="18"/>
      <w:szCs w:val="18"/>
    </w:rPr>
  </w:style>
  <w:style w:type="character" w:customStyle="1" w:styleId="10">
    <w:name w:val="页眉 Char"/>
    <w:basedOn w:val="6"/>
    <w:link w:val="4"/>
    <w:uiPriority w:val="0"/>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934</Words>
  <Characters>5326</Characters>
  <Lines>44</Lines>
  <Paragraphs>12</Paragraphs>
  <TotalTime>45</TotalTime>
  <ScaleCrop>false</ScaleCrop>
  <LinksUpToDate>false</LinksUpToDate>
  <CharactersWithSpaces>6248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2019-01-08T08:31:00Z</dcterms:created>
  <dc:creator>1</dc:creator>
  <cp:lastModifiedBy>/xig一叶编舟</cp:lastModifiedBy>
  <cp:lastPrinted>2019-01-08T10:30:00Z</cp:lastPrinted>
  <dcterms:modified xsi:type="dcterms:W3CDTF">2019-03-06T01:14:34Z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