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bookmarkStart w:id="0" w:name="_GoBack"/>
      <w:r>
        <w:rPr>
          <w:rFonts w:hint="eastAsia" w:ascii="黑体" w:hAnsi="黑体" w:eastAsia="黑体"/>
        </w:rPr>
        <w:t>附件</w:t>
      </w:r>
      <w:r>
        <w:rPr>
          <w:rFonts w:hint="eastAsia"/>
        </w:rPr>
        <w:t>2</w:t>
      </w:r>
    </w:p>
    <w:bookmarkEnd w:id="0"/>
    <w:p>
      <w:pPr>
        <w:ind w:firstLine="0" w:firstLineChars="0"/>
        <w:jc w:val="center"/>
        <w:rPr>
          <w:b/>
          <w:bCs/>
        </w:rPr>
      </w:pPr>
      <w:r>
        <w:rPr>
          <w:rFonts w:hint="eastAsia" w:ascii="黑体" w:hAnsi="黑体" w:eastAsia="黑体" w:cs="黑体"/>
          <w:szCs w:val="28"/>
        </w:rPr>
        <w:t>第二期高校思政课教师网络培训</w:t>
      </w:r>
      <w:r>
        <w:rPr>
          <w:rFonts w:hint="eastAsia" w:ascii="黑体" w:hAnsi="黑体" w:eastAsia="黑体" w:cs="黑体"/>
          <w:szCs w:val="28"/>
          <w:lang w:val="en-US" w:eastAsia="zh-CN"/>
        </w:rPr>
        <w:t>选修</w:t>
      </w:r>
      <w:r>
        <w:rPr>
          <w:rFonts w:hint="eastAsia" w:ascii="黑体" w:hAnsi="黑体" w:eastAsia="黑体" w:cs="黑体"/>
          <w:szCs w:val="28"/>
        </w:rPr>
        <w:t>课程列表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960"/>
        <w:gridCol w:w="96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马克思主义基本原理概论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世界社会主义500年启示录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顾海良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全国人大教科文卫委员会委员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 xml:space="preserve">历史唯物主义——认识社会历史的科学世界观方法论 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颜晓峰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国防大学马克思主义研究所研究员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马克思列宁主义基本问题研究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侯少文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中共中央党校教务部原常务副主任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对当代资本主义几个理论问题的思考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何自力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南开大学经济学院副院长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马克思主义中国化的内涵实质及其原则要求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黄书进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国防大学马克思主义教研部副主任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毛泽东思想活的灵魂在当代的运用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江  英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中国人民解放军军事科学院研究员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邓小平的国际战略思想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刘建飞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中共中央党校国际战略研究所副所长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习近平治国理政思想与中国之路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胡鞍钢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清华大学国情研究院院长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中国近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" w:hAnsi="仿宋" w:cs="仿宋"/>
                <w:sz w:val="24"/>
                <w:szCs w:val="24"/>
              </w:rPr>
              <w:t>代史纲要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中国特色革命道路的开辟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王新生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中共中央党史研究室副巡视员、研究员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中国共产党不同历史时期的群众路线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陈  述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中共中央党校党史教研部教授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改革开放与中国特色社会主义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孙蚌珠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北京大学马克思主义学院党委书记、副院长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中国改革为什么能成功——纪念改革开放40周年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徐  斌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思想道德修养与法律基础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宝哥说：我的青春不迷茫 谈信仰的力量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唐忠宝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江南大学马克思主义学院副教授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中华传统文化与核心价值观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陈  来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清华大学国学研究院院长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结合党的十九大精神认真学习领会宪法修正案要义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莫纪宏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中国社会科学院法学研究所副所长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让道德滋养法治精神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李建华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湖南城市学院党委书记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模块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restart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形势与政策和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当代世界经济与政治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以十九大精神为指导 贯彻总体国家安全观 统筹富国强军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杨  毅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国防大学战略研究所原所长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国际形式的不确定性与中美关系的前景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金灿荣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中国人民大学国际关系学院副院长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中国特色国际战略的历史演进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孙东方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中共中央党校国际战略研究所研究员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ind w:firstLine="0" w:firstLineChars="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在世界框架下研判中国宏观经济趋势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刘元春</w:t>
            </w:r>
          </w:p>
        </w:tc>
        <w:tc>
          <w:tcPr>
            <w:tcW w:w="2632" w:type="dxa"/>
            <w:vAlign w:val="center"/>
          </w:tcPr>
          <w:p>
            <w:pPr>
              <w:widowControl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中国人民大学副校长</w:t>
            </w:r>
          </w:p>
        </w:tc>
      </w:tr>
    </w:tbl>
    <w:p>
      <w:pPr>
        <w:spacing w:line="360" w:lineRule="exact"/>
        <w:ind w:left="-566" w:leftChars="-202" w:hanging="2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eastAsia" w:ascii="楷体" w:hAnsi="楷体" w:eastAsia="楷体"/>
          <w:sz w:val="24"/>
        </w:rPr>
        <w:t>说明：</w:t>
      </w:r>
      <w:r>
        <w:rPr>
          <w:rFonts w:hint="default" w:ascii="Times New Roman" w:hAnsi="Times New Roman" w:eastAsia="楷体" w:cs="Times New Roman"/>
          <w:sz w:val="24"/>
        </w:rPr>
        <w:t>1.个别课程或稍有调整，请以平台最终发布课程为准；</w:t>
      </w:r>
    </w:p>
    <w:p>
      <w:pPr>
        <w:spacing w:line="360" w:lineRule="exact"/>
        <w:ind w:left="-566" w:leftChars="-202" w:firstLine="1200" w:firstLineChars="50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50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482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2019-04-01T00:30:54Z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