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bookmarkStart w:id="0" w:name="_GoBack"/>
      <w:r>
        <w:rPr>
          <w:rFonts w:hint="eastAsia" w:ascii="黑体" w:hAnsi="黑体" w:eastAsia="黑体"/>
        </w:rPr>
        <w:t>附件</w:t>
      </w:r>
      <w:r>
        <w:rPr>
          <w:rFonts w:hint="eastAsia"/>
        </w:rPr>
        <w:t>2</w:t>
      </w:r>
    </w:p>
    <w:bookmarkEnd w:id="0"/>
    <w:p>
      <w:pPr>
        <w:ind w:firstLine="0" w:firstLineChars="0"/>
        <w:jc w:val="center"/>
        <w:rPr>
          <w:b/>
          <w:bCs/>
        </w:rPr>
      </w:pPr>
      <w:r>
        <w:rPr>
          <w:rFonts w:hint="eastAsia" w:ascii="黑体" w:hAnsi="黑体" w:eastAsia="黑体" w:cs="黑体"/>
          <w:szCs w:val="28"/>
        </w:rPr>
        <w:t>第二期高校思政课教师网络培训</w:t>
      </w:r>
      <w:r>
        <w:rPr>
          <w:rFonts w:hint="eastAsia" w:ascii="黑体" w:hAnsi="黑体" w:eastAsia="黑体" w:cs="黑体"/>
          <w:szCs w:val="28"/>
          <w:lang w:val="en-US" w:eastAsia="zh-CN"/>
        </w:rPr>
        <w:t>选修</w:t>
      </w:r>
      <w:r>
        <w:rPr>
          <w:rFonts w:hint="eastAsia" w:ascii="黑体" w:hAnsi="黑体" w:eastAsia="黑体" w:cs="黑体"/>
          <w:szCs w:val="28"/>
        </w:rPr>
        <w:t>课程列表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960"/>
        <w:gridCol w:w="961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课程</w:t>
            </w:r>
          </w:p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马克思主义基本原理概论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世界社会主义500年启示录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顾海良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全国人大教科文卫委员会委员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 xml:space="preserve">历史唯物主义——认识社会历史的科学世界观方法论 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颜晓峰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国防大学马克思主义研究所研究员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马克思列宁主义基本问题研究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侯少文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中共中央党校教务部原常务副主任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对当代资本主义几个理论问题的思考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何自力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南开大学经济学院副院长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马克思主义中国化的内涵实质及其原则要求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黄书进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国防大学马克思主义教研部副主任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毛泽东思想活的灵魂在当代的运用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江  英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中国人民解放军军事科学院研究员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邓小平的国际战略思想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刘建飞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中共中央党校国际战略研究所副所长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习近平治国理政思想与中国之路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胡鞍钢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清华大学国情研究院院长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中国近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" w:hAnsi="仿宋" w:cs="仿宋"/>
                <w:sz w:val="24"/>
                <w:szCs w:val="24"/>
              </w:rPr>
              <w:t>代史纲要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中国特色革命道路的开辟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王新生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中共中央党史研究室副巡视员、研究员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中国共产党不同历史时期的群众路线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陈  述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中共中央党校党史教研部教授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改革开放与中国特色社会主义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孙蚌珠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北京大学马克思主义学院党委书记、副院长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中国改革为什么能成功——纪念改革开放40周年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徐  斌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北京师范大学马克思主义学院教授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思想道德修养与法律基础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宝哥说：我的青春不迷茫 谈信仰的力量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唐忠宝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江南大学马克思主义学院副教授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中华传统文化与核心价值观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陈  来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清华大学国学研究院院长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结合党的十九大精神认真学习领会宪法修正案要义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莫纪宏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中国社会科学院法学研究所副所长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让道德滋养法治精神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李建华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湖南城市学院党委书记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课程</w:t>
            </w:r>
          </w:p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形势与政策和</w:t>
            </w:r>
          </w:p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当代世界经济与政治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以十九大精神为指导 贯彻总体国家安全观 统筹富国强军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杨  毅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国防大学战略研究所原所长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国际形式的不确定性与中美关系的前景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金灿荣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中国人民大学国际关系学院副院长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中国特色国际战略的历史演进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孙东方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中共中央党校国际战略研究所研究员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在世界框架下研判中国宏观经济趋势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刘元春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中国人民大学副校长</w:t>
            </w:r>
          </w:p>
        </w:tc>
      </w:tr>
    </w:tbl>
    <w:p>
      <w:pPr>
        <w:spacing w:line="360" w:lineRule="exact"/>
        <w:ind w:left="-566" w:leftChars="-202" w:hanging="2"/>
        <w:jc w:val="left"/>
        <w:rPr>
          <w:rFonts w:hint="default" w:ascii="Times New Roman" w:hAnsi="Times New Roman" w:eastAsia="楷体" w:cs="Times New Roman"/>
          <w:sz w:val="24"/>
        </w:rPr>
      </w:pPr>
      <w:r>
        <w:rPr>
          <w:rFonts w:hint="eastAsia" w:ascii="楷体" w:hAnsi="楷体" w:eastAsia="楷体"/>
          <w:sz w:val="24"/>
        </w:rPr>
        <w:t>说明：</w:t>
      </w:r>
      <w:r>
        <w:rPr>
          <w:rFonts w:hint="default" w:ascii="Times New Roman" w:hAnsi="Times New Roman" w:eastAsia="楷体" w:cs="Times New Roman"/>
          <w:sz w:val="24"/>
        </w:rPr>
        <w:t>1.个别课程或稍有调整，请以平台最终发布课程为准；</w:t>
      </w:r>
    </w:p>
    <w:p>
      <w:pPr>
        <w:spacing w:line="360" w:lineRule="exact"/>
        <w:ind w:left="-566" w:leftChars="-202" w:firstLine="1200" w:firstLineChars="500"/>
        <w:jc w:val="left"/>
        <w:rPr>
          <w:rFonts w:hint="default" w:ascii="Times New Roman" w:hAnsi="Times New Roman" w:eastAsia="楷体" w:cs="Times New Roman"/>
          <w:sz w:val="24"/>
        </w:rPr>
      </w:pPr>
      <w:r>
        <w:rPr>
          <w:rFonts w:hint="default" w:ascii="Times New Roman" w:hAnsi="Times New Roman" w:eastAsia="楷体" w:cs="Times New Roman"/>
          <w:sz w:val="24"/>
        </w:rPr>
        <w:t>2.课程主讲人职务为课程录制时的职务。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50D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482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/xig一叶编舟</cp:lastModifiedBy>
  <dcterms:modified xsi:type="dcterms:W3CDTF">2019-04-01T00:30:54Z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