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Times New Roman" w:hAnsi="Times New Roman" w:eastAsia="黑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ind w:firstLine="0" w:firstLineChars="0"/>
        <w:jc w:val="center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新修订普通高中课程方案和课程标准国家级示范</w:t>
      </w:r>
      <w:r>
        <w:rPr>
          <w:rFonts w:ascii="Times New Roman" w:hAnsi="Times New Roman" w:eastAsia="黑体"/>
          <w:sz w:val="32"/>
          <w:szCs w:val="32"/>
        </w:rPr>
        <w:br w:type="textWrapping"/>
      </w:r>
      <w:r>
        <w:rPr>
          <w:rFonts w:hint="eastAsia" w:ascii="Times New Roman" w:hAnsi="Times New Roman" w:eastAsia="黑体"/>
          <w:sz w:val="32"/>
          <w:szCs w:val="32"/>
        </w:rPr>
        <w:t>培训班公开课程列表</w:t>
      </w:r>
      <w:bookmarkEnd w:id="0"/>
    </w:p>
    <w:tbl>
      <w:tblPr>
        <w:tblStyle w:val="3"/>
        <w:tblW w:w="9640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568"/>
        <w:gridCol w:w="5386"/>
        <w:gridCol w:w="226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  <w:tblHeader/>
        </w:trPr>
        <w:tc>
          <w:tcPr>
            <w:tcW w:w="113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课程分类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主讲专家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时长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1135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通识培训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深化普通高中课程改革落实立德树人根本任务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朱之文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普通高中课程修订工作整体情况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朱慕菊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普通高中课程方案修订情况介绍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张绪培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学科核心素养及教学实施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崔允漷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1135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学业质量标准与评价考试改革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杨向东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学科培训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高中语文课程标准与语文课程改革的主要精神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王宁/巢宗祺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立德树人的总体目标与语文核心素养的归纳和阐释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郑国民/董小玉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语文课程结构与内容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陆志平/王岱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学习任务群与语文学习活动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郑桂华/梁捷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学业质量标准、考试命题与语文课程资源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王云峰/蔡可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高中数学课程标准整体解读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史宁中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整体把握高中数学课程—抓住本质与主题教学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吕世虎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基于核心素养的数学课堂教学—情境设计与问题引领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缴志清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数学建模活动与数学探究活动—案例研讨与经验分享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张思明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数学学业质量标准与考试命题—问题情境与评分标准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王尚志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高中英语课程标准整体解读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梅德明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核心素养背景下英语课程内容与教学方式变革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王蔷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英语学习活动观与教学设计实践—语篇解读与活动设计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王蔷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基于英语学科核心素养的课堂教学设计与改进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贺亚丽/王瑜/关媛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英语学业质量标准与考试命题改革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程晓堂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思想政治课程标准整体解读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韩震/朱明光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思想政治学科核心素养的提炼与活动型学科课程的塑造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朱明光/李晓东/朱志平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基于核心素养的教学活动与策略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李晓东/张莉/牛学文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基于核心素养的法治教育目标设置与实施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陈大文/王敬波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基于核心素养的学业质量标准及其测试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陈友芳/朱志平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高中历史课程标准整体解读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徐蓝/朱汉国/叶小兵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历史学科核心素养解读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徐蓝/朱汉国/叶小兵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基于历史学科核心素养的课程结构和课程内容解读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赵世瑜/叶小兵/朱汉国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学科培训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基于核心素养的历史教学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叶小兵/张斌平/魏恤民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基于核心素养的学业质量评价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刘芃/张斌平/魏恤民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高中地理课程标准整体结构解读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朱翔/韦志榕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地理核心素养解读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韦志榕/王民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地理课程内容解读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林培英/周尚意/王永红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地理学业质量标准与学业水平考试命题建议解读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袁孝亭/段玉山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基于地理核心素养的教学建议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林培英/李京燕/程菊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高中物理课程标准整体解读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廖伯琴/黄恕伯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高中物理必修课程解读及教学建议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黄恕伯/陈峰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高中物理选修课程解读及教学建议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郭玉英/曹宝龙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高中物理核心素养解读与教学建议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胡卫平/刘兵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学业质量标准解读与评价建议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陈峰/李勇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高中化学课程目标与内容的现代化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徐端钧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高中化学学科核心素养及学业质量标准探索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王祖浩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高中化学课程结构和课程内容解读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基于核心素养的化学课堂教学设计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郑长龙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化学教学评价与考试命题改革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周青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高中生物学课程标准整体解读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刘恩山/温青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生物学核心素养的组成要素及其教学指向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刘恩山/刘广发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基于生物学核心素养的课程结构和课程内容解读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曹保义/温青/刘广发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基于生物学核心素养的教学改革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赵萍萍/安军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基于生物学核心素养的学业质量标准和教学评价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胡兴昌/王健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信息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高中信息技术课程标准整体解读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任友群/黄荣怀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整体把握高中信息技术课程结构与内容体系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熊璋/樊磊/张剑平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正确理解信息技术学科核心素养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董玉琦/解月光/李艺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基于核心素养的信息技术课堂教学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赵健/李维明/林众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信息技术学业质量标准与考试命题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魏雄鹰/李冬梅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通用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技术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高中通用技术课程标准整体解读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顾建军/吴铁军/段青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基于学科核心素养的课程结构和课程内容解读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顾建军/吴铁军/陈向阳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基于核心素养的通用技术课堂教学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段青/赵薇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442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通用技术设计活动与技术探究活动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姜腾/李作林/岳云霞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通用技术学业质量标准与考试评价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段青/管光海/刘海林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学科培训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高中音乐课标整体解读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王安国/蔡梦/杜宏斌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音乐学科核心素养内涵透视及培育途径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蔡梦/王安国/李存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核心素养引领下的课程结构及以学定教的选课模式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杜宏斌/罗琦/蔡梦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学业质量水平与课程评价—案例研讨与经验分享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杜宏斌/罗琦/李存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面对课标的新变化，学校和教师应做好哪些方面的工作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王安国/蔡梦/杜宏斌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体育与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健康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高中体育与健康课程标准整体解读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季浏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体育与健康学科核心素养解读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钟秉枢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基于学科核心素养的课程结构和课程内容解读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耿培新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基于学科核心素养的高中体育与健康学业质量标准解读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汪晓赞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基于学科核心素养的高中体育与健康教学改革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潘绍伟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普通高中美术课程标准整体解读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奚传绩/段鹏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学科核心素养的提炼与内涵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尹少淳/段鹏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基于核心素养的美术课程结构和课程内容解读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周凤甫/段鹏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基于学科核心素养的学业质量标准解读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胡知凡/段鹏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基于学科核心素养的教学改革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王大根/段鹏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150</w:t>
            </w:r>
          </w:p>
        </w:tc>
      </w:tr>
    </w:tbl>
    <w:p>
      <w:pPr>
        <w:ind w:firstLine="0" w:firstLineChars="0"/>
        <w:rPr>
          <w:rFonts w:hint="eastAsia" w:ascii="Times New Roman" w:hAnsi="Times New Roman"/>
        </w:rPr>
      </w:pPr>
      <w:r>
        <w:rPr>
          <w:rFonts w:hint="eastAsia" w:ascii="Times New Roman" w:hAnsi="Times New Roman"/>
          <w:bCs/>
          <w:sz w:val="24"/>
          <w:szCs w:val="24"/>
        </w:rPr>
        <w:t>注：此课程列表仅为参考，请以最终上传平台课程为准。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FC3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2018-05-09T09:49:58Z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