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直播活动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学员操作说明</w:t>
      </w:r>
    </w:p>
    <w:p>
      <w:pPr>
        <w:jc w:val="center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一、登录地址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1.电脑版——直接点击链接进入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instrText xml:space="preserve"> HYPERLINK "http://ceat.gensee.com/webcast/site/entry/join-d46a8e7239ca47eeaa4d7d5cf56de33a" </w:instrTex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color w:val="000000"/>
          <w:kern w:val="0"/>
          <w:sz w:val="28"/>
          <w:szCs w:val="28"/>
        </w:rPr>
        <w:t>http://ceat.gensee.com/webcast/site/entry/join-d46a8e7239ca47eeaa4d7d5cf56de33a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手机版——长按识别图中二维码或微信扫一扫进入直播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210185</wp:posOffset>
            </wp:positionV>
            <wp:extent cx="1781175" cy="1762125"/>
            <wp:effectExtent l="0" t="0" r="9525" b="9525"/>
            <wp:wrapTight wrapText="bothSides">
              <wp:wrapPolygon>
                <wp:start x="0" y="0"/>
                <wp:lineTo x="0" y="21483"/>
                <wp:lineTo x="21484" y="21483"/>
                <wp:lineTo x="21484" y="0"/>
                <wp:lineTo x="0" y="0"/>
              </wp:wrapPolygon>
            </wp:wrapTight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二、点击进入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输入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名称：省份移动-姓名（如：湖南移动-赵美佳），口令：333333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，点击进入直播。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drawing>
          <wp:inline distT="0" distB="0" distL="114300" distR="114300">
            <wp:extent cx="5266055" cy="3642995"/>
            <wp:effectExtent l="0" t="0" r="10795" b="146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4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三、视频页面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页面分三部分，左侧是“问答区”，学员在此提出问题，专家点评回复学员问题。中间是专家PPT播放区，右侧是“视频”和“公共聊天区域”，学员可以在“公共聊天区域”与学员交流。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点击音量旁边的按钮，可以切换PPT和视频播放页面。</w:t>
      </w:r>
    </w:p>
    <w:p>
      <w:pPr>
        <w:widowControl/>
        <w:spacing w:line="400" w:lineRule="exac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187960</wp:posOffset>
            </wp:positionV>
            <wp:extent cx="4951095" cy="1919605"/>
            <wp:effectExtent l="0" t="0" r="1905" b="4445"/>
            <wp:wrapNone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116840</wp:posOffset>
            </wp:positionV>
            <wp:extent cx="3734435" cy="457200"/>
            <wp:effectExtent l="0" t="0" r="18415" b="0"/>
            <wp:wrapNone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11996"/>
    <w:rsid w:val="49D1199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2018-11-01T09:28:00Z</dcterms:created>
  <dc:creator>Administrator</dc:creator>
  <cp:lastModifiedBy>Administrator</cp:lastModifiedBy>
  <dcterms:modified xsi:type="dcterms:W3CDTF">2018-11-01T09:28:42Z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