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ind w:right="-334" w:rightChars="-159"/>
        <w:jc w:val="both"/>
        <w:rPr>
          <w:rFonts w:hint="default" w:ascii="仿宋" w:hAnsi="仿宋" w:eastAsia="仿宋" w:cs="仿宋"/>
          <w:b/>
          <w:sz w:val="24"/>
          <w:lang w:val="en-US" w:eastAsia="zh-CN"/>
        </w:rPr>
      </w:pPr>
      <w:r>
        <w:rPr>
          <w:rFonts w:hint="eastAsia" w:ascii="仿宋" w:hAnsi="仿宋" w:eastAsia="仿宋" w:cs="仿宋"/>
          <w:b/>
          <w:sz w:val="24"/>
          <w:lang w:val="en-US" w:eastAsia="zh-CN"/>
        </w:rPr>
        <w:t>附件1</w:t>
      </w:r>
      <w:bookmarkStart w:id="0" w:name="_GoBack"/>
      <w:bookmarkEnd w:id="0"/>
    </w:p>
    <w:p>
      <w:pPr>
        <w:spacing w:line="300" w:lineRule="auto"/>
        <w:ind w:right="-334" w:rightChars="-159"/>
        <w:jc w:val="center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幼儿园园长任职资格培训网络课程列表</w:t>
      </w:r>
    </w:p>
    <w:p>
      <w:pPr>
        <w:spacing w:line="300" w:lineRule="auto"/>
        <w:ind w:right="-334" w:rightChars="-159"/>
        <w:jc w:val="center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（共提供120学时课程，选学88学时即可,30分钟/学时）</w:t>
      </w:r>
    </w:p>
    <w:tbl>
      <w:tblPr>
        <w:tblStyle w:val="5"/>
        <w:tblW w:w="9237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2"/>
        <w:gridCol w:w="5983"/>
        <w:gridCol w:w="1170"/>
        <w:gridCol w:w="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模块</w:t>
            </w:r>
          </w:p>
        </w:tc>
        <w:tc>
          <w:tcPr>
            <w:tcW w:w="5983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课程名称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主讲人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Merge w:val="restart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坚守理想信念</w:t>
            </w:r>
          </w:p>
        </w:tc>
        <w:tc>
          <w:tcPr>
            <w:tcW w:w="5983" w:type="dxa"/>
            <w:noWrap w:val="0"/>
            <w:vAlign w:val="center"/>
          </w:tcPr>
          <w:p>
            <w:pPr>
              <w:spacing w:line="30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学习贯彻全国教育大会精神 全力推动新时代教育工作迈上新台阶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陈宝生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5983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加快教育现代化、建设教育强国，办好人民满意的教育——习近平总书记关于教育的重要论述学习体会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陈子季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5983" w:type="dxa"/>
            <w:noWrap w:val="0"/>
            <w:vAlign w:val="center"/>
          </w:tcPr>
          <w:p>
            <w:pPr>
              <w:spacing w:line="30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2030中国教育战略展望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高书国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5.0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5983" w:type="dxa"/>
            <w:noWrap w:val="0"/>
            <w:vAlign w:val="center"/>
          </w:tcPr>
          <w:p>
            <w:pPr>
              <w:spacing w:line="30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习近平新时代中国特色社会主义思想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韩庆祥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Merge w:val="restart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提升道德素养</w:t>
            </w:r>
          </w:p>
        </w:tc>
        <w:tc>
          <w:tcPr>
            <w:tcW w:w="5983" w:type="dxa"/>
            <w:noWrap w:val="0"/>
            <w:vAlign w:val="center"/>
          </w:tcPr>
          <w:p>
            <w:pPr>
              <w:spacing w:line="30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师德师风建设与中国传统文化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姚小玲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5983" w:type="dxa"/>
            <w:noWrap w:val="0"/>
            <w:vAlign w:val="center"/>
          </w:tcPr>
          <w:p>
            <w:pPr>
              <w:spacing w:line="30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认同基础上的师德建构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舒  荣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5983" w:type="dxa"/>
            <w:noWrap w:val="0"/>
            <w:vAlign w:val="center"/>
          </w:tcPr>
          <w:p>
            <w:pPr>
              <w:spacing w:line="30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步入师德艺境 体验职场幸福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刘惊铎 姚亚萍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Merge w:val="restart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规划园所发展</w:t>
            </w:r>
          </w:p>
        </w:tc>
        <w:tc>
          <w:tcPr>
            <w:tcW w:w="5983" w:type="dxa"/>
            <w:noWrap w:val="0"/>
            <w:vAlign w:val="center"/>
          </w:tcPr>
          <w:p>
            <w:pPr>
              <w:spacing w:line="30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《幼儿园园长专业标准》解读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霍力岩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5983" w:type="dxa"/>
            <w:noWrap w:val="0"/>
            <w:vAlign w:val="center"/>
          </w:tcPr>
          <w:p>
            <w:pPr>
              <w:spacing w:line="30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如何科学制定幼儿园发展规划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乔  梅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5983" w:type="dxa"/>
            <w:noWrap w:val="0"/>
            <w:vAlign w:val="center"/>
          </w:tcPr>
          <w:p>
            <w:pPr>
              <w:spacing w:line="30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《幼儿园教育指导纲要》中五大领域教育的核心价值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徐  明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5983" w:type="dxa"/>
            <w:noWrap w:val="0"/>
            <w:vAlign w:val="center"/>
          </w:tcPr>
          <w:p>
            <w:pPr>
              <w:spacing w:line="30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法治改革背景下的幼儿园管理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佟丽华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5983" w:type="dxa"/>
            <w:noWrap w:val="0"/>
            <w:vAlign w:val="center"/>
          </w:tcPr>
          <w:p>
            <w:pPr>
              <w:spacing w:line="30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信息技术环境下的学前教育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潘克明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Merge w:val="restart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营造育人文化</w:t>
            </w:r>
          </w:p>
        </w:tc>
        <w:tc>
          <w:tcPr>
            <w:tcW w:w="5983" w:type="dxa"/>
            <w:noWrap w:val="0"/>
            <w:vAlign w:val="center"/>
          </w:tcPr>
          <w:p>
            <w:pPr>
              <w:spacing w:line="30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幼儿园育人文化的价值回归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王建平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5983" w:type="dxa"/>
            <w:noWrap w:val="0"/>
            <w:vAlign w:val="center"/>
          </w:tcPr>
          <w:p>
            <w:pPr>
              <w:spacing w:line="30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本土文化融入幼儿园文化建设的探索与实践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邹  平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5983" w:type="dxa"/>
            <w:noWrap w:val="0"/>
            <w:vAlign w:val="center"/>
          </w:tcPr>
          <w:p>
            <w:pPr>
              <w:spacing w:line="30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幼儿园文化建设的实践与思考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朱继文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5.0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5983" w:type="dxa"/>
            <w:noWrap w:val="0"/>
            <w:vAlign w:val="top"/>
          </w:tcPr>
          <w:p>
            <w:pPr>
              <w:spacing w:line="30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“和”而不同，“合”作共赢，和谐发展——创建“和合文化”的实践探索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王  岚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Merge w:val="restart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领导保育教育</w:t>
            </w:r>
          </w:p>
        </w:tc>
        <w:tc>
          <w:tcPr>
            <w:tcW w:w="5983" w:type="dxa"/>
            <w:noWrap w:val="0"/>
            <w:vAlign w:val="center"/>
          </w:tcPr>
          <w:p>
            <w:pPr>
              <w:spacing w:line="30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如何“去小学化”——入学成熟水平视角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钱志亮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5.0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Merge w:val="continue"/>
            <w:noWrap w:val="0"/>
            <w:vAlign w:val="center"/>
          </w:tcPr>
          <w:p>
            <w:pPr>
              <w:spacing w:line="30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983" w:type="dxa"/>
            <w:noWrap w:val="0"/>
            <w:vAlign w:val="center"/>
          </w:tcPr>
          <w:p>
            <w:pPr>
              <w:spacing w:line="30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《幼儿园工作规程》解读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鄢超云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Merge w:val="continue"/>
            <w:noWrap w:val="0"/>
            <w:vAlign w:val="center"/>
          </w:tcPr>
          <w:p>
            <w:pPr>
              <w:spacing w:line="30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983" w:type="dxa"/>
            <w:noWrap w:val="0"/>
            <w:vAlign w:val="center"/>
          </w:tcPr>
          <w:p>
            <w:pPr>
              <w:spacing w:line="30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儿童游戏的意义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王小英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Merge w:val="continue"/>
            <w:noWrap w:val="0"/>
            <w:vAlign w:val="center"/>
          </w:tcPr>
          <w:p>
            <w:pPr>
              <w:spacing w:line="30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983" w:type="dxa"/>
            <w:noWrap w:val="0"/>
            <w:vAlign w:val="center"/>
          </w:tcPr>
          <w:p>
            <w:pPr>
              <w:spacing w:line="30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各年龄班幼儿身心发展特点分析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张  俊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5983" w:type="dxa"/>
            <w:noWrap w:val="0"/>
            <w:vAlign w:val="top"/>
          </w:tcPr>
          <w:p>
            <w:pPr>
              <w:spacing w:line="300" w:lineRule="auto"/>
              <w:jc w:val="lef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以儿童为本的幼儿园课程建构——兼论学前儿童语言领域的关键经验及教师的指导策略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李敏谊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5983" w:type="dxa"/>
            <w:noWrap w:val="0"/>
            <w:vAlign w:val="center"/>
          </w:tcPr>
          <w:p>
            <w:pPr>
              <w:spacing w:line="30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《3-6岁儿童学习与发展指南》解读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徐  明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5.0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5983" w:type="dxa"/>
            <w:noWrap w:val="0"/>
            <w:vAlign w:val="center"/>
          </w:tcPr>
          <w:p>
            <w:pPr>
              <w:spacing w:line="30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合理安排与优化幼儿一日生活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徐立芬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5983" w:type="dxa"/>
            <w:noWrap w:val="0"/>
            <w:vAlign w:val="center"/>
          </w:tcPr>
          <w:p>
            <w:pPr>
              <w:spacing w:line="30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信息化环境下幼儿园区域游戏的创设与指导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王宇凡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5983" w:type="dxa"/>
            <w:noWrap w:val="0"/>
            <w:vAlign w:val="center"/>
          </w:tcPr>
          <w:p>
            <w:pPr>
              <w:spacing w:line="30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以儿童为中心的幼儿园保教管理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朱继文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5983" w:type="dxa"/>
            <w:noWrap w:val="0"/>
            <w:vAlign w:val="center"/>
          </w:tcPr>
          <w:p>
            <w:pPr>
              <w:spacing w:line="30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户外区域环境打造--重庆市沙坪坝区曙光幼儿园环境打造实践与探索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李  燕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5983" w:type="dxa"/>
            <w:noWrap w:val="0"/>
            <w:vAlign w:val="center"/>
          </w:tcPr>
          <w:p>
            <w:pPr>
              <w:widowControl/>
              <w:spacing w:line="300" w:lineRule="auto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开发废旧材料，促进幼儿健康成长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曾  莉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Merge w:val="restart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引领教师成长</w:t>
            </w:r>
          </w:p>
        </w:tc>
        <w:tc>
          <w:tcPr>
            <w:tcW w:w="5983" w:type="dxa"/>
            <w:noWrap w:val="0"/>
            <w:vAlign w:val="center"/>
          </w:tcPr>
          <w:p>
            <w:pPr>
              <w:spacing w:line="30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新定位、新形象、新要求——《幼儿园教师专业标准》解读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刘  焱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5.0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5983" w:type="dxa"/>
            <w:noWrap w:val="0"/>
            <w:vAlign w:val="center"/>
          </w:tcPr>
          <w:p>
            <w:pPr>
              <w:spacing w:line="30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《新时代幼儿园教师职业行为十项准则》解读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姚金菊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5983" w:type="dxa"/>
            <w:noWrap w:val="0"/>
            <w:vAlign w:val="center"/>
          </w:tcPr>
          <w:p>
            <w:pPr>
              <w:spacing w:line="30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幼儿教师之情绪天平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吴洪健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5983" w:type="dxa"/>
            <w:noWrap w:val="0"/>
            <w:vAlign w:val="center"/>
          </w:tcPr>
          <w:p>
            <w:pPr>
              <w:spacing w:line="30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幼儿园教师专业成长与发展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刘占兰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5983" w:type="dxa"/>
            <w:noWrap w:val="0"/>
            <w:vAlign w:val="center"/>
          </w:tcPr>
          <w:p>
            <w:pPr>
              <w:spacing w:line="30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如何促进幼儿教师的专业化发展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崔哲、</w:t>
            </w:r>
          </w:p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任正慧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5983" w:type="dxa"/>
            <w:noWrap w:val="0"/>
            <w:vAlign w:val="center"/>
          </w:tcPr>
          <w:p>
            <w:pPr>
              <w:spacing w:line="30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幼儿园教师自我设计与专业发展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王纬虹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Merge w:val="restart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优化内部管理</w:t>
            </w:r>
          </w:p>
        </w:tc>
        <w:tc>
          <w:tcPr>
            <w:tcW w:w="5983" w:type="dxa"/>
            <w:noWrap w:val="0"/>
            <w:vAlign w:val="center"/>
          </w:tcPr>
          <w:p>
            <w:pPr>
              <w:spacing w:line="30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幼儿园安全管理与突发事件处理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郑增仪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5983" w:type="dxa"/>
            <w:noWrap w:val="0"/>
            <w:vAlign w:val="center"/>
          </w:tcPr>
          <w:p>
            <w:pPr>
              <w:spacing w:line="30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创建安全的幼儿园——幼儿园安全事故责任及其防范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余雅风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5.0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5983" w:type="dxa"/>
            <w:noWrap w:val="0"/>
            <w:vAlign w:val="center"/>
          </w:tcPr>
          <w:p>
            <w:pPr>
              <w:spacing w:line="30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以规范的制度建设保障园所可持续发展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铁艳红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5983" w:type="dxa"/>
            <w:noWrap w:val="0"/>
            <w:vAlign w:val="center"/>
          </w:tcPr>
          <w:p>
            <w:pPr>
              <w:spacing w:line="30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柔性管理  让教师成为幼儿园的主人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蔡  盛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5983" w:type="dxa"/>
            <w:noWrap w:val="0"/>
            <w:vAlign w:val="center"/>
          </w:tcPr>
          <w:p>
            <w:pPr>
              <w:spacing w:line="30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精细化后勤管理 </w:t>
            </w:r>
            <w:r>
              <w:rPr>
                <w:rFonts w:eastAsia="仿宋" w:cs="Calibri"/>
                <w:sz w:val="24"/>
              </w:rPr>
              <w:t> </w:t>
            </w:r>
            <w:r>
              <w:rPr>
                <w:rFonts w:hint="eastAsia" w:ascii="仿宋" w:hAnsi="仿宋" w:eastAsia="仿宋"/>
                <w:sz w:val="24"/>
              </w:rPr>
              <w:t>助推园所发展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蒲  渝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Merge w:val="restart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调试外部环境</w:t>
            </w:r>
          </w:p>
        </w:tc>
        <w:tc>
          <w:tcPr>
            <w:tcW w:w="5983" w:type="dxa"/>
            <w:noWrap w:val="0"/>
            <w:vAlign w:val="center"/>
          </w:tcPr>
          <w:p>
            <w:pPr>
              <w:spacing w:line="30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公共事件中的媒体运用与舆论应对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傅思明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5983" w:type="dxa"/>
            <w:noWrap w:val="0"/>
            <w:vAlign w:val="center"/>
          </w:tcPr>
          <w:p>
            <w:pPr>
              <w:spacing w:line="30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幼儿园家庭社区互动形成儿童早期教育合力——</w:t>
            </w:r>
          </w:p>
          <w:p>
            <w:pPr>
              <w:spacing w:line="30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北京师范大学实验幼儿园家庭社区共育的实践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高以华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Merge w:val="continue"/>
            <w:noWrap w:val="0"/>
            <w:vAlign w:val="center"/>
          </w:tcPr>
          <w:p>
            <w:pPr>
              <w:spacing w:line="300" w:lineRule="auto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5983" w:type="dxa"/>
            <w:noWrap w:val="0"/>
            <w:vAlign w:val="center"/>
          </w:tcPr>
          <w:p>
            <w:pPr>
              <w:spacing w:line="30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信息技术环境下的家园共育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孔震英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192" w:type="dxa"/>
            <w:vMerge w:val="restart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传统文化与</w:t>
            </w:r>
          </w:p>
          <w:p>
            <w:pPr>
              <w:spacing w:line="30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人文素养</w:t>
            </w:r>
          </w:p>
        </w:tc>
        <w:tc>
          <w:tcPr>
            <w:tcW w:w="5983" w:type="dxa"/>
            <w:noWrap w:val="0"/>
            <w:vAlign w:val="center"/>
          </w:tcPr>
          <w:p>
            <w:pPr>
              <w:spacing w:line="30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当代教师的“国学”素养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施克灿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5983" w:type="dxa"/>
            <w:noWrap w:val="0"/>
            <w:vAlign w:val="center"/>
          </w:tcPr>
          <w:p>
            <w:pPr>
              <w:spacing w:line="30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中华传统文化的智慧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楼宇烈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Merge w:val="continue"/>
            <w:noWrap w:val="0"/>
            <w:vAlign w:val="center"/>
          </w:tcPr>
          <w:p>
            <w:pPr>
              <w:spacing w:line="300" w:lineRule="auto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5983" w:type="dxa"/>
            <w:noWrap w:val="0"/>
            <w:vAlign w:val="center"/>
          </w:tcPr>
          <w:p>
            <w:pPr>
              <w:widowControl/>
              <w:spacing w:line="300" w:lineRule="auto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沟通与说服的艺术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郑日昌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4.0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Merge w:val="continue"/>
            <w:noWrap w:val="0"/>
            <w:vAlign w:val="center"/>
          </w:tcPr>
          <w:p>
            <w:pPr>
              <w:spacing w:line="300" w:lineRule="auto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5983" w:type="dxa"/>
            <w:noWrap w:val="0"/>
            <w:vAlign w:val="center"/>
          </w:tcPr>
          <w:p>
            <w:pPr>
              <w:spacing w:line="30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走进音乐的世界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周海宏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Merge w:val="continue"/>
            <w:noWrap w:val="0"/>
            <w:vAlign w:val="center"/>
          </w:tcPr>
          <w:p>
            <w:pPr>
              <w:spacing w:line="300" w:lineRule="auto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5983" w:type="dxa"/>
            <w:noWrap w:val="0"/>
            <w:vAlign w:val="center"/>
          </w:tcPr>
          <w:p>
            <w:pPr>
              <w:spacing w:line="30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服饰与礼仪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刘健芳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Merge w:val="continue"/>
            <w:noWrap w:val="0"/>
            <w:vAlign w:val="top"/>
          </w:tcPr>
          <w:p>
            <w:pPr>
              <w:spacing w:line="300" w:lineRule="auto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5983" w:type="dxa"/>
            <w:noWrap w:val="0"/>
            <w:vAlign w:val="center"/>
          </w:tcPr>
          <w:p>
            <w:pPr>
              <w:spacing w:line="30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阅读与精神生活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周国平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3.0</w:t>
            </w:r>
          </w:p>
        </w:tc>
      </w:tr>
    </w:tbl>
    <w:p>
      <w:pPr>
        <w:spacing w:line="300" w:lineRule="auto"/>
        <w:rPr>
          <w:rFonts w:hint="eastAsia" w:ascii="仿宋" w:hAnsi="仿宋" w:eastAsia="仿宋" w:cs="仿宋_GB2312"/>
          <w:sz w:val="24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ascii="仿宋" w:hAnsi="仿宋" w:eastAsia="仿宋" w:cs="仿宋_GB2312"/>
          <w:sz w:val="24"/>
        </w:rPr>
        <w:t>注</w:t>
      </w:r>
      <w:r>
        <w:rPr>
          <w:rFonts w:hint="eastAsia" w:ascii="仿宋" w:hAnsi="仿宋" w:eastAsia="仿宋" w:cs="仿宋_GB2312"/>
          <w:sz w:val="24"/>
        </w:rPr>
        <w:t>：个别</w:t>
      </w:r>
      <w:r>
        <w:rPr>
          <w:rFonts w:ascii="仿宋" w:hAnsi="仿宋" w:eastAsia="仿宋" w:cs="仿宋_GB2312"/>
          <w:sz w:val="24"/>
        </w:rPr>
        <w:t>课程名称</w:t>
      </w:r>
      <w:r>
        <w:rPr>
          <w:rFonts w:hint="eastAsia" w:ascii="仿宋" w:hAnsi="仿宋" w:eastAsia="仿宋" w:cs="仿宋_GB2312"/>
          <w:sz w:val="24"/>
        </w:rPr>
        <w:t>及主讲人或</w:t>
      </w:r>
      <w:r>
        <w:rPr>
          <w:rFonts w:ascii="仿宋" w:hAnsi="仿宋" w:eastAsia="仿宋" w:cs="仿宋_GB2312"/>
          <w:sz w:val="24"/>
        </w:rPr>
        <w:t>有调整</w:t>
      </w:r>
      <w:r>
        <w:rPr>
          <w:rFonts w:hint="eastAsia" w:ascii="仿宋" w:hAnsi="仿宋" w:eastAsia="仿宋" w:cs="仿宋_GB2312"/>
          <w:sz w:val="24"/>
        </w:rPr>
        <w:t>，</w:t>
      </w:r>
      <w:r>
        <w:rPr>
          <w:rFonts w:ascii="仿宋" w:hAnsi="仿宋" w:eastAsia="仿宋" w:cs="仿宋_GB2312"/>
          <w:sz w:val="24"/>
        </w:rPr>
        <w:t>请以平台最终发布课程为准</w:t>
      </w:r>
      <w:r>
        <w:rPr>
          <w:rFonts w:hint="eastAsia" w:ascii="仿宋" w:hAnsi="仿宋" w:eastAsia="仿宋" w:cs="仿宋_GB2312"/>
          <w:sz w:val="24"/>
        </w:rPr>
        <w:t>。</w:t>
      </w:r>
    </w:p>
    <w:p>
      <w:pPr>
        <w:spacing w:line="300" w:lineRule="auto"/>
        <w:rPr>
          <w:rFonts w:hint="eastAsia" w:ascii="黑体" w:hAnsi="黑体" w:eastAsia="黑体" w:cs="黑体"/>
          <w:bCs/>
          <w:kern w:val="44"/>
          <w:sz w:val="28"/>
          <w:szCs w:val="28"/>
        </w:rPr>
      </w:pPr>
      <w:r>
        <w:rPr>
          <w:rFonts w:hint="eastAsia" w:ascii="黑体" w:hAnsi="黑体" w:eastAsia="黑体" w:cs="黑体"/>
          <w:bCs/>
          <w:kern w:val="44"/>
          <w:sz w:val="28"/>
          <w:szCs w:val="28"/>
        </w:rPr>
        <w:t>附件2</w:t>
      </w:r>
    </w:p>
    <w:p>
      <w:pPr>
        <w:jc w:val="center"/>
        <w:rPr>
          <w:rFonts w:ascii="仿宋" w:hAnsi="仿宋" w:eastAsia="仿宋"/>
          <w:b/>
          <w:color w:val="000000"/>
          <w:sz w:val="24"/>
        </w:rPr>
      </w:pPr>
      <w:r>
        <w:rPr>
          <w:rFonts w:hint="eastAsia" w:ascii="仿宋" w:hAnsi="仿宋" w:eastAsia="仿宋"/>
          <w:b/>
          <w:sz w:val="24"/>
        </w:rPr>
        <w:t>幼儿园园长任职资格网络培训</w:t>
      </w:r>
      <w:r>
        <w:rPr>
          <w:rFonts w:hint="eastAsia" w:ascii="仿宋" w:hAnsi="仿宋" w:eastAsia="仿宋"/>
          <w:b/>
          <w:color w:val="000000"/>
          <w:sz w:val="24"/>
        </w:rPr>
        <w:t>学员信息回执表</w:t>
      </w:r>
    </w:p>
    <w:p>
      <w:pPr>
        <w:jc w:val="center"/>
        <w:rPr>
          <w:rFonts w:hint="eastAsia" w:ascii="仿宋" w:hAnsi="仿宋" w:eastAsia="仿宋"/>
          <w:sz w:val="24"/>
        </w:rPr>
      </w:pPr>
    </w:p>
    <w:p>
      <w:pPr>
        <w:spacing w:line="280" w:lineRule="atLeast"/>
        <w:rPr>
          <w:rFonts w:ascii="仿宋" w:hAnsi="仿宋" w:eastAsia="仿宋" w:cs="仿宋"/>
          <w:b/>
          <w:bCs/>
          <w:color w:val="000000"/>
          <w:sz w:val="24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</w:rPr>
        <w:t>省、市、县：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</w:t>
      </w:r>
      <w:r>
        <w:rPr>
          <w:rFonts w:hint="eastAsia" w:ascii="仿宋" w:hAnsi="仿宋" w:eastAsia="仿宋" w:cs="仿宋"/>
          <w:b/>
          <w:bCs/>
          <w:color w:val="000000"/>
          <w:sz w:val="24"/>
        </w:rPr>
        <w:t>联系人：</w:t>
      </w:r>
      <w:r>
        <w:rPr>
          <w:rFonts w:hint="eastAsia" w:ascii="仿宋" w:hAnsi="仿宋" w:eastAsia="仿宋" w:cs="仿宋"/>
          <w:b/>
          <w:bCs/>
          <w:color w:val="000000"/>
          <w:sz w:val="24"/>
          <w:u w:val="single"/>
        </w:rPr>
        <w:t xml:space="preserve">            </w:t>
      </w:r>
      <w:r>
        <w:rPr>
          <w:rFonts w:hint="eastAsia" w:ascii="仿宋" w:hAnsi="仿宋" w:eastAsia="仿宋" w:cs="仿宋"/>
          <w:b/>
          <w:bCs/>
          <w:color w:val="000000"/>
          <w:sz w:val="24"/>
        </w:rPr>
        <w:t>联系人电话号码：</w:t>
      </w:r>
      <w:r>
        <w:rPr>
          <w:rFonts w:hint="eastAsia" w:ascii="仿宋" w:hAnsi="仿宋" w:eastAsia="仿宋" w:cs="仿宋"/>
          <w:b/>
          <w:bCs/>
          <w:color w:val="000000"/>
          <w:sz w:val="24"/>
          <w:u w:val="single"/>
        </w:rPr>
        <w:t xml:space="preserve">    </w:t>
      </w:r>
      <w:r>
        <w:rPr>
          <w:rFonts w:ascii="仿宋" w:hAnsi="仿宋" w:eastAsia="仿宋" w:cs="仿宋"/>
          <w:b/>
          <w:bCs/>
          <w:color w:val="000000"/>
          <w:sz w:val="24"/>
          <w:u w:val="single"/>
        </w:rPr>
        <w:t xml:space="preserve">   </w:t>
      </w:r>
      <w:r>
        <w:rPr>
          <w:rFonts w:hint="eastAsia" w:ascii="仿宋" w:hAnsi="仿宋" w:eastAsia="仿宋" w:cs="仿宋"/>
          <w:b/>
          <w:bCs/>
          <w:color w:val="000000"/>
          <w:sz w:val="24"/>
          <w:u w:val="single"/>
        </w:rPr>
        <w:t xml:space="preserve">      </w:t>
      </w:r>
      <w:r>
        <w:rPr>
          <w:rFonts w:hint="eastAsia" w:ascii="仿宋" w:hAnsi="仿宋" w:eastAsia="仿宋" w:cs="仿宋"/>
          <w:b/>
          <w:bCs/>
          <w:color w:val="000000"/>
          <w:sz w:val="24"/>
        </w:rPr>
        <w:t xml:space="preserve"> 填表日期：</w:t>
      </w:r>
      <w:r>
        <w:rPr>
          <w:rFonts w:hint="eastAsia" w:ascii="仿宋" w:hAnsi="仿宋" w:eastAsia="仿宋" w:cs="仿宋"/>
          <w:b/>
          <w:bCs/>
          <w:color w:val="000000"/>
          <w:sz w:val="24"/>
          <w:u w:val="single"/>
        </w:rPr>
        <w:t xml:space="preserve">      </w:t>
      </w:r>
      <w:r>
        <w:rPr>
          <w:rFonts w:ascii="仿宋" w:hAnsi="仿宋" w:eastAsia="仿宋" w:cs="仿宋"/>
          <w:b/>
          <w:bCs/>
          <w:color w:val="000000"/>
          <w:sz w:val="24"/>
          <w:u w:val="single"/>
        </w:rPr>
        <w:t xml:space="preserve">     </w:t>
      </w:r>
      <w:r>
        <w:rPr>
          <w:rFonts w:hint="eastAsia" w:ascii="仿宋" w:hAnsi="仿宋" w:eastAsia="仿宋" w:cs="仿宋"/>
          <w:b/>
          <w:bCs/>
          <w:color w:val="000000"/>
          <w:sz w:val="24"/>
          <w:u w:val="single"/>
        </w:rPr>
        <w:t xml:space="preserve"> </w:t>
      </w:r>
    </w:p>
    <w:tbl>
      <w:tblPr>
        <w:tblStyle w:val="5"/>
        <w:tblW w:w="143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291"/>
        <w:gridCol w:w="1283"/>
        <w:gridCol w:w="1527"/>
        <w:gridCol w:w="3283"/>
        <w:gridCol w:w="1196"/>
        <w:gridCol w:w="2187"/>
        <w:gridCol w:w="1697"/>
        <w:gridCol w:w="1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852" w:type="dxa"/>
            <w:noWrap w:val="0"/>
            <w:vAlign w:val="center"/>
          </w:tcPr>
          <w:p>
            <w:pPr>
              <w:tabs>
                <w:tab w:val="left" w:pos="3119"/>
              </w:tabs>
              <w:spacing w:after="100" w:afterAutospacing="1"/>
              <w:jc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1291" w:type="dxa"/>
            <w:noWrap w:val="0"/>
            <w:vAlign w:val="top"/>
          </w:tcPr>
          <w:p>
            <w:pPr>
              <w:tabs>
                <w:tab w:val="left" w:pos="3119"/>
              </w:tabs>
              <w:spacing w:after="100" w:afterAutospacing="1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  <w:t>市（地、州、盟）</w:t>
            </w:r>
          </w:p>
        </w:tc>
        <w:tc>
          <w:tcPr>
            <w:tcW w:w="1283" w:type="dxa"/>
            <w:noWrap w:val="0"/>
            <w:vAlign w:val="top"/>
          </w:tcPr>
          <w:p>
            <w:pPr>
              <w:tabs>
                <w:tab w:val="left" w:pos="3119"/>
              </w:tabs>
              <w:spacing w:after="100" w:afterAutospacing="1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  <w:t>县（市、区、旗）</w:t>
            </w:r>
          </w:p>
        </w:tc>
        <w:tc>
          <w:tcPr>
            <w:tcW w:w="1527" w:type="dxa"/>
            <w:noWrap w:val="0"/>
            <w:vAlign w:val="center"/>
          </w:tcPr>
          <w:p>
            <w:pPr>
              <w:tabs>
                <w:tab w:val="left" w:pos="3119"/>
              </w:tabs>
              <w:spacing w:after="100" w:afterAutospacing="1"/>
              <w:jc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  <w:t>姓名</w:t>
            </w:r>
          </w:p>
        </w:tc>
        <w:tc>
          <w:tcPr>
            <w:tcW w:w="3283" w:type="dxa"/>
            <w:noWrap w:val="0"/>
            <w:vAlign w:val="center"/>
          </w:tcPr>
          <w:p>
            <w:pPr>
              <w:tabs>
                <w:tab w:val="left" w:pos="3119"/>
              </w:tabs>
              <w:spacing w:after="100" w:afterAutospacing="1"/>
              <w:jc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  <w:t>单位</w:t>
            </w:r>
          </w:p>
        </w:tc>
        <w:tc>
          <w:tcPr>
            <w:tcW w:w="1196" w:type="dxa"/>
            <w:noWrap w:val="0"/>
            <w:vAlign w:val="center"/>
          </w:tcPr>
          <w:p>
            <w:pPr>
              <w:tabs>
                <w:tab w:val="left" w:pos="3119"/>
              </w:tabs>
              <w:spacing w:after="100" w:afterAutospacing="1"/>
              <w:jc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  <w:t>职务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tabs>
                <w:tab w:val="left" w:pos="3119"/>
              </w:tabs>
              <w:spacing w:after="100" w:afterAutospacing="1"/>
              <w:jc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  <w:t>手机号码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tabs>
                <w:tab w:val="left" w:pos="3119"/>
              </w:tabs>
              <w:spacing w:after="100" w:afterAutospacing="1"/>
              <w:jc w:val="center"/>
              <w:rPr>
                <w:rFonts w:hint="eastAsia" w:ascii="仿宋" w:hAnsi="仿宋" w:eastAsia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  <w:t>邮箱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tabs>
                <w:tab w:val="left" w:pos="3119"/>
              </w:tabs>
              <w:spacing w:after="100" w:afterAutospacing="1"/>
              <w:jc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52" w:type="dxa"/>
            <w:noWrap w:val="0"/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91" w:type="dxa"/>
            <w:noWrap w:val="0"/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83" w:type="dxa"/>
            <w:noWrap w:val="0"/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27" w:type="dxa"/>
            <w:noWrap w:val="0"/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283" w:type="dxa"/>
            <w:noWrap w:val="0"/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96" w:type="dxa"/>
            <w:noWrap w:val="0"/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187" w:type="dxa"/>
            <w:noWrap w:val="0"/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697" w:type="dxa"/>
            <w:noWrap w:val="0"/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075" w:type="dxa"/>
            <w:noWrap w:val="0"/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852" w:type="dxa"/>
            <w:noWrap w:val="0"/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91" w:type="dxa"/>
            <w:noWrap w:val="0"/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83" w:type="dxa"/>
            <w:noWrap w:val="0"/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27" w:type="dxa"/>
            <w:noWrap w:val="0"/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283" w:type="dxa"/>
            <w:noWrap w:val="0"/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96" w:type="dxa"/>
            <w:noWrap w:val="0"/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187" w:type="dxa"/>
            <w:noWrap w:val="0"/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697" w:type="dxa"/>
            <w:noWrap w:val="0"/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075" w:type="dxa"/>
            <w:noWrap w:val="0"/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52" w:type="dxa"/>
            <w:noWrap w:val="0"/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91" w:type="dxa"/>
            <w:noWrap w:val="0"/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83" w:type="dxa"/>
            <w:noWrap w:val="0"/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27" w:type="dxa"/>
            <w:noWrap w:val="0"/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283" w:type="dxa"/>
            <w:noWrap w:val="0"/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96" w:type="dxa"/>
            <w:noWrap w:val="0"/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187" w:type="dxa"/>
            <w:noWrap w:val="0"/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697" w:type="dxa"/>
            <w:noWrap w:val="0"/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075" w:type="dxa"/>
            <w:noWrap w:val="0"/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852" w:type="dxa"/>
            <w:noWrap w:val="0"/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91" w:type="dxa"/>
            <w:noWrap w:val="0"/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83" w:type="dxa"/>
            <w:noWrap w:val="0"/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27" w:type="dxa"/>
            <w:noWrap w:val="0"/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283" w:type="dxa"/>
            <w:noWrap w:val="0"/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96" w:type="dxa"/>
            <w:noWrap w:val="0"/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187" w:type="dxa"/>
            <w:noWrap w:val="0"/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697" w:type="dxa"/>
            <w:noWrap w:val="0"/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075" w:type="dxa"/>
            <w:noWrap w:val="0"/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52" w:type="dxa"/>
            <w:noWrap w:val="0"/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91" w:type="dxa"/>
            <w:noWrap w:val="0"/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83" w:type="dxa"/>
            <w:noWrap w:val="0"/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27" w:type="dxa"/>
            <w:noWrap w:val="0"/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283" w:type="dxa"/>
            <w:noWrap w:val="0"/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96" w:type="dxa"/>
            <w:noWrap w:val="0"/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187" w:type="dxa"/>
            <w:noWrap w:val="0"/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697" w:type="dxa"/>
            <w:noWrap w:val="0"/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075" w:type="dxa"/>
            <w:noWrap w:val="0"/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2" w:hRule="atLeast"/>
        </w:trPr>
        <w:tc>
          <w:tcPr>
            <w:tcW w:w="14391" w:type="dxa"/>
            <w:gridSpan w:val="9"/>
            <w:noWrap w:val="0"/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我单位申请参加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“幼儿园园长任职资格网络培训”项目，参训人数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仿宋" w:hAnsi="仿宋" w:eastAsia="仿宋" w:cs="仿宋"/>
                <w:b/>
                <w:bCs/>
                <w:color w:val="000000"/>
                <w:sz w:val="24"/>
                <w:u w:val="single"/>
              </w:rPr>
              <w:t xml:space="preserve">    </w:t>
            </w:r>
            <w:r>
              <w:rPr>
                <w:rFonts w:ascii="仿宋" w:hAnsi="仿宋" w:eastAsia="仿宋" w:cs="仿宋"/>
                <w:bCs/>
                <w:color w:val="000000"/>
                <w:szCs w:val="21"/>
              </w:rPr>
              <w:t>人</w:t>
            </w: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，</w:t>
            </w:r>
            <w:r>
              <w:rPr>
                <w:rFonts w:ascii="仿宋" w:hAnsi="仿宋" w:eastAsia="仿宋" w:cs="仿宋"/>
                <w:bCs/>
                <w:color w:val="000000"/>
                <w:szCs w:val="21"/>
              </w:rPr>
              <w:t>培训费用共计人民币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仿宋" w:hAnsi="仿宋" w:eastAsia="仿宋" w:cs="仿宋"/>
                <w:b/>
                <w:bCs/>
                <w:color w:val="000000"/>
                <w:sz w:val="24"/>
                <w:u w:val="single"/>
              </w:rPr>
              <w:t xml:space="preserve">        </w:t>
            </w:r>
            <w:r>
              <w:rPr>
                <w:rFonts w:ascii="仿宋" w:hAnsi="仿宋" w:eastAsia="仿宋" w:cs="仿宋"/>
                <w:bCs/>
                <w:color w:val="000000"/>
                <w:szCs w:val="21"/>
              </w:rPr>
              <w:t>元</w:t>
            </w: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。</w:t>
            </w:r>
          </w:p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szCs w:val="21"/>
              </w:rPr>
              <w:t xml:space="preserve">                                                             负责人签字</w:t>
            </w: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：</w:t>
            </w:r>
          </w:p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szCs w:val="21"/>
              </w:rPr>
              <w:t xml:space="preserve">                                                             单位盖章</w:t>
            </w: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：</w:t>
            </w:r>
          </w:p>
        </w:tc>
      </w:tr>
    </w:tbl>
    <w:p>
      <w:pPr>
        <w:tabs>
          <w:tab w:val="left" w:pos="3119"/>
        </w:tabs>
        <w:rPr>
          <w:rFonts w:hint="eastAsia" w:ascii="仿宋" w:hAnsi="仿宋" w:eastAsia="仿宋" w:cs="仿宋"/>
          <w:b/>
          <w:kern w:val="44"/>
          <w:sz w:val="24"/>
        </w:rPr>
      </w:pPr>
      <w:r>
        <w:rPr>
          <w:rFonts w:ascii="仿宋" w:hAnsi="仿宋" w:eastAsia="仿宋"/>
          <w:color w:val="000000"/>
          <w:szCs w:val="21"/>
        </w:rPr>
        <w:t>注：学员信息回执表由省</w:t>
      </w:r>
      <w:r>
        <w:rPr>
          <w:rFonts w:hint="eastAsia" w:ascii="仿宋" w:hAnsi="仿宋" w:eastAsia="仿宋"/>
          <w:color w:val="000000"/>
          <w:szCs w:val="21"/>
        </w:rPr>
        <w:t>、</w:t>
      </w:r>
      <w:r>
        <w:rPr>
          <w:rFonts w:ascii="仿宋" w:hAnsi="仿宋" w:eastAsia="仿宋"/>
          <w:color w:val="000000"/>
          <w:szCs w:val="21"/>
        </w:rPr>
        <w:t>市</w:t>
      </w:r>
      <w:r>
        <w:rPr>
          <w:rFonts w:hint="eastAsia" w:ascii="仿宋" w:hAnsi="仿宋" w:eastAsia="仿宋"/>
          <w:color w:val="000000"/>
          <w:szCs w:val="21"/>
        </w:rPr>
        <w:t>、</w:t>
      </w:r>
      <w:r>
        <w:rPr>
          <w:rFonts w:ascii="仿宋" w:hAnsi="仿宋" w:eastAsia="仿宋"/>
          <w:color w:val="000000"/>
          <w:szCs w:val="21"/>
        </w:rPr>
        <w:t>县级联系人填写报名表并发送至邮箱</w:t>
      </w:r>
      <w:r>
        <w:rPr>
          <w:rFonts w:hint="eastAsia" w:ascii="仿宋" w:hAnsi="仿宋" w:eastAsia="仿宋"/>
          <w:color w:val="000000"/>
          <w:szCs w:val="21"/>
        </w:rPr>
        <w:t>：</w:t>
      </w:r>
      <w:r>
        <w:rPr>
          <w:rFonts w:ascii="仿宋" w:hAnsi="仿宋" w:eastAsia="仿宋"/>
          <w:color w:val="000000"/>
          <w:szCs w:val="21"/>
        </w:rPr>
        <w:t>pxfw</w:t>
      </w:r>
      <w:r>
        <w:rPr>
          <w:rFonts w:hint="eastAsia" w:ascii="仿宋" w:hAnsi="仿宋" w:eastAsia="仿宋"/>
          <w:color w:val="000000"/>
          <w:szCs w:val="21"/>
        </w:rPr>
        <w:fldChar w:fldCharType="begin"/>
      </w:r>
      <w:r>
        <w:rPr>
          <w:rFonts w:hint="eastAsia" w:ascii="仿宋" w:hAnsi="仿宋" w:eastAsia="仿宋"/>
          <w:color w:val="000000"/>
          <w:szCs w:val="21"/>
        </w:rPr>
        <w:instrText xml:space="preserve"> HYPERLINK "mailto:banzhuren@enaea.edu.cn" </w:instrText>
      </w:r>
      <w:r>
        <w:rPr>
          <w:rFonts w:hint="eastAsia" w:ascii="仿宋" w:hAnsi="仿宋" w:eastAsia="仿宋"/>
          <w:color w:val="000000"/>
          <w:szCs w:val="21"/>
        </w:rPr>
        <w:fldChar w:fldCharType="separate"/>
      </w:r>
      <w:r>
        <w:rPr>
          <w:rFonts w:hint="eastAsia" w:ascii="仿宋" w:hAnsi="仿宋" w:eastAsia="仿宋"/>
          <w:color w:val="000000"/>
          <w:szCs w:val="21"/>
        </w:rPr>
        <w:t>@enaea.edu.cn</w:t>
      </w:r>
      <w:r>
        <w:rPr>
          <w:rFonts w:hint="eastAsia" w:ascii="仿宋" w:hAnsi="仿宋" w:eastAsia="仿宋"/>
          <w:color w:val="000000"/>
          <w:szCs w:val="21"/>
        </w:rPr>
        <w:fldChar w:fldCharType="end"/>
      </w:r>
      <w:r>
        <w:rPr>
          <w:rFonts w:hint="eastAsia" w:ascii="仿宋" w:hAnsi="仿宋" w:eastAsia="仿宋"/>
          <w:color w:val="000000"/>
          <w:szCs w:val="21"/>
        </w:rPr>
        <w:t>，</w:t>
      </w:r>
      <w:r>
        <w:rPr>
          <w:rFonts w:ascii="仿宋" w:hAnsi="仿宋" w:eastAsia="仿宋"/>
          <w:color w:val="000000"/>
          <w:szCs w:val="21"/>
        </w:rPr>
        <w:t>邮件主题请注明</w:t>
      </w:r>
      <w:r>
        <w:rPr>
          <w:rFonts w:hint="eastAsia" w:ascii="仿宋" w:hAnsi="仿宋" w:eastAsia="仿宋"/>
          <w:color w:val="000000"/>
          <w:szCs w:val="21"/>
        </w:rPr>
        <w:t>“幼儿园园长任职资格网络培训”，收到报名表后我院与贵单位联系确实后续培训事宜。</w:t>
      </w:r>
    </w:p>
    <w:p/>
    <w:sectPr>
      <w:pgSz w:w="16838" w:h="11906" w:orient="landscape"/>
      <w:pgMar w:top="1800" w:right="1440" w:bottom="1800" w:left="14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712184"/>
    <w:rsid w:val="19E02B82"/>
    <w:rsid w:val="3AA43AE9"/>
    <w:rsid w:val="415324FF"/>
    <w:rsid w:val="42C04AA8"/>
    <w:rsid w:val="442C23AE"/>
    <w:rsid w:val="49ED44AB"/>
    <w:rsid w:val="4CB531C4"/>
    <w:rsid w:val="4F0C32E7"/>
    <w:rsid w:val="5B3F6E6C"/>
    <w:rsid w:val="6BF4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0" w:afterAutospacing="0" w:line="640" w:lineRule="exact"/>
      <w:ind w:firstLine="643" w:firstLineChars="200"/>
      <w:jc w:val="left"/>
      <w:outlineLvl w:val="0"/>
    </w:pPr>
    <w:rPr>
      <w:rFonts w:hint="eastAsia" w:ascii="宋体" w:hAnsi="宋体" w:eastAsia="宋体"/>
      <w:b/>
      <w:kern w:val="44"/>
      <w:sz w:val="30"/>
      <w:szCs w:val="4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86</TotalTime>
  <ScaleCrop>false</ScaleCrop>
  <LinksUpToDate>false</LinksUpToDate>
  <CharactersWithSpaces>0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张宇</cp:lastModifiedBy>
  <cp:lastPrinted>2019-07-16T01:23:00Z</cp:lastPrinted>
  <dcterms:modified xsi:type="dcterms:W3CDTF">2019-07-18T07:21:54Z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