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 w:cs="黑体"/>
          <w:color w:val="000000"/>
          <w:sz w:val="30"/>
          <w:szCs w:val="30"/>
        </w:rPr>
      </w:pPr>
      <w:r>
        <w:rPr>
          <w:rFonts w:hint="eastAsia" w:eastAsia="黑体" w:cs="黑体"/>
          <w:color w:val="000000"/>
          <w:sz w:val="30"/>
          <w:szCs w:val="30"/>
        </w:rPr>
        <w:t>附件2</w:t>
      </w:r>
    </w:p>
    <w:p>
      <w:pPr>
        <w:spacing w:line="500" w:lineRule="exact"/>
        <w:jc w:val="center"/>
        <w:rPr>
          <w:rFonts w:eastAsia="黑体" w:cs="黑体"/>
          <w:color w:val="000000"/>
          <w:sz w:val="28"/>
          <w:szCs w:val="28"/>
        </w:rPr>
      </w:pPr>
      <w:r>
        <w:rPr>
          <w:rFonts w:hint="eastAsia" w:eastAsia="黑体" w:cs="黑体"/>
          <w:color w:val="000000"/>
          <w:sz w:val="28"/>
          <w:szCs w:val="28"/>
        </w:rPr>
        <w:t>“第二期高等院校科级干部履职能力提升”专题网络培训报名表</w:t>
      </w:r>
    </w:p>
    <w:tbl>
      <w:tblPr>
        <w:tblStyle w:val="2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spacing w:before="156" w:beforeLines="50" w:after="156" w:afterLines="50"/>
        <w:ind w:firstLine="420" w:firstLineChars="200"/>
      </w:pPr>
      <w:r>
        <w:rPr>
          <w:rFonts w:hint="eastAsia" w:ascii="仿宋" w:hAnsi="仿宋" w:eastAsia="仿宋"/>
          <w:szCs w:val="21"/>
        </w:rPr>
        <w:t>注：请各省（自治区、直辖市）、各高校认真填写此表，并与国家教育行政学院联系，以便尽快安排培训。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01C5"/>
    <w:rsid w:val="7DCD0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2019-09-27T05:23:00Z</dcterms:created>
  <dc:creator>起飞</dc:creator>
  <cp:lastModifiedBy>起飞</cp:lastModifiedBy>
  <dcterms:modified xsi:type="dcterms:W3CDTF">2019-09-27T05:23:32Z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