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1"/>
        </w:tabs>
        <w:ind w:firstLine="0" w:firstLineChars="0"/>
        <w:jc w:val="left"/>
        <w:rPr>
          <w:rFonts w:ascii="黑体" w:hAnsi="黑体" w:eastAsia="黑体" w:cs="宋体"/>
          <w:sz w:val="28"/>
        </w:rPr>
      </w:pPr>
      <w:r>
        <w:rPr>
          <w:rFonts w:hint="eastAsia" w:ascii="黑体" w:hAnsi="黑体" w:eastAsia="黑体" w:cs="宋体"/>
          <w:sz w:val="28"/>
        </w:rPr>
        <w:t>附件1</w:t>
      </w:r>
      <w:bookmarkStart w:id="0" w:name="_GoBack"/>
      <w:bookmarkEnd w:id="0"/>
    </w:p>
    <w:p>
      <w:pPr>
        <w:pStyle w:val="2"/>
        <w:spacing w:before="0" w:beforeLines="0" w:after="0" w:afterLines="0"/>
        <w:ind w:firstLine="0" w:firstLineChars="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“新时代校园长领导力提升”系列专题网络培训</w:t>
      </w:r>
    </w:p>
    <w:p>
      <w:pPr>
        <w:pStyle w:val="2"/>
        <w:spacing w:before="0" w:beforeLines="0" w:after="0" w:afterLines="0"/>
        <w:ind w:firstLine="0" w:firstLineChars="0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课程内容体系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828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课程模块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课程主题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特色与优势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通识课程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政策法规</w:t>
            </w:r>
          </w:p>
        </w:tc>
        <w:tc>
          <w:tcPr>
            <w:tcW w:w="2885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需求导向。通过多种形式的调研，密切追踪和把握校园长日常管理实践中的热点、难点问题，按需设置培训课程。</w:t>
            </w:r>
          </w:p>
          <w:p>
            <w:pPr>
              <w:pStyle w:val="2"/>
              <w:spacing w:before="0" w:beforeLines="0" w:after="0" w:afterLines="0" w:line="240" w:lineRule="auto"/>
              <w:ind w:firstLine="0" w:firstLineChars="0"/>
              <w:jc w:val="both"/>
              <w:rPr>
                <w:rFonts w:ascii="仿宋" w:hAnsi="仿宋" w:eastAsia="仿宋" w:cs="Times New Roman"/>
                <w:bCs w:val="0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 w:val="0"/>
                <w:kern w:val="2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Times New Roman"/>
                <w:bCs w:val="0"/>
                <w:kern w:val="2"/>
                <w:sz w:val="24"/>
                <w:szCs w:val="24"/>
              </w:rPr>
              <w:t>理实结合。培训内容既有理论课程，又有基于问题解决的实践性课程，同时设置多种形式的主题研修活动，从而实现理论与实践的最佳结合。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内容丰富。课程包括教育部司局领导的政策解读，各高校专家的理论引领，一线名优校园长的案例分析等，形成了系统完备的培训资源库。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4.形式多样。课程表现形式勇于创新，追求视觉创意，通过新颖多变的表现形式不断提升学员学习乐趣。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师德修养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科研素养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信息素养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人文素养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专题一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规划学校发展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学校规划发展前沿理念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学校规划发展创新实践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学校办学理念与实践反思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学校发展优势与问题分析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学校发展思路与方法改进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专题二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学校文化建设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学校文化建设前沿理念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学校文化建设现状诊断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学校文化建设创新实践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学校文化特色品牌培育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专题三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学校课程建设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学校办学理念与课程体系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校本课程资源开发实施途径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校本课程资源开发特色打造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校本课程建设优秀案例解析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专题四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学校教学改革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课堂教学改革前沿理念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课堂教学质量提升策略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课堂教学改革设计实施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课堂教学改革实践创新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专题五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教师队伍建设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教师队伍建设前沿理念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教师评价激励管理理论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教师专业发展制度建设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教师评价激励创新实践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专题六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优化内部管理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学校管理变革趋势解读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学校管理变革案例分析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依法治校管理创新实践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危机应对与平安校园打造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专题七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家校协同育人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家校合作沟通理论与方法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学校外部关系诊断与改进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家校共育实施途径及策略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家校合作的成功案例分析</w:t>
            </w:r>
          </w:p>
        </w:tc>
        <w:tc>
          <w:tcPr>
            <w:tcW w:w="2885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auto"/>
        <w:ind w:left="480" w:hanging="480" w:hangingChars="200"/>
      </w:pPr>
      <w:r>
        <w:rPr>
          <w:rFonts w:hint="eastAsia" w:ascii="仿宋" w:hAnsi="仿宋" w:eastAsia="仿宋"/>
          <w:sz w:val="24"/>
        </w:rPr>
        <w:t>注：学员数量达到一定规模（大于1500人），可根据地方需求进行区域特色化的课程研发与建设。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D379B"/>
    <w:rsid w:val="3F8D3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2019-10-11T05:37:00Z</dcterms:created>
  <dc:creator>起飞</dc:creator>
  <cp:lastModifiedBy>起飞</cp:lastModifiedBy>
  <dcterms:modified xsi:type="dcterms:W3CDTF">2019-10-11T05:37:39Z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