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4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课题研究</w:t>
      </w:r>
      <w:r>
        <w:rPr>
          <w:rFonts w:ascii="黑体" w:eastAsia="黑体"/>
          <w:sz w:val="30"/>
          <w:szCs w:val="30"/>
        </w:rPr>
        <w:t>选题参考指南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1.习近平新时代中国特色社会主义思想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2.习近平总书记关于教育的重要论述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3.新中国成立70年来高校思想政治工作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4.担当民族复兴大任的时代新人内涵研究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5.新时代高校主流意识形态话语体系构建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6.新时代大学生思想特点及行为规律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7.高校辅导员群体思想状况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8.思政课程与课程思政同向同行协同育人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9.高校实践育人协同体系建设研究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10.新时代大学生理想信念、价值观念、道德观念教育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11.高校优良校风、学风培育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12.新时代大学生法治素养教育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13.高校网络舆情的管理和引导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14.高校网络育人体系构建研究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15.大学生国家安全教育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16.大学生社会主义核心价值观培育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17.少数民族学生思想政治教育途径与方法创新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20.高校辅导员专业能力和职业素养提升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21.高校辅导员专业化发展问题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22.大学生就业指导路径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23.网络意识形态的新特点及应对策略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24.大学生心理健康素质提升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25.高校党团与班级建设创新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26.高校网络舆情事件应对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27.高校学生社团管理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28.高校学生安全事件应对处置</w:t>
      </w:r>
    </w:p>
    <w:p>
      <w:pPr>
        <w:spacing w:line="460" w:lineRule="exac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29.研究生思想政治教育创新</w:t>
      </w:r>
    </w:p>
    <w:p>
      <w:pPr>
        <w:spacing w:line="460" w:lineRule="exact"/>
      </w:pPr>
      <w:r>
        <w:rPr>
          <w:rFonts w:eastAsia="仿宋"/>
          <w:kern w:val="0"/>
          <w:sz w:val="24"/>
        </w:rPr>
        <w:t>30.高校班主任育人机制与体制研究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00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/xig一叶编舟</cp:lastModifiedBy>
  <dcterms:modified xsi:type="dcterms:W3CDTF">2019-10-11T08:25:22Z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