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第一期“幼儿游戏的组织与实施”专题网络培训——</w:t>
      </w:r>
    </w:p>
    <w:p>
      <w:pPr>
        <w:jc w:val="center"/>
        <w:rPr>
          <w:rFonts w:ascii="仿宋" w:hAnsi="仿宋" w:eastAsia="仿宋" w:cs="仿宋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直播课程列表</w:t>
      </w:r>
    </w:p>
    <w:p>
      <w:pPr>
        <w:spacing w:before="156" w:beforeLines="50" w:after="156" w:afterLines="50"/>
        <w:jc w:val="center"/>
        <w:rPr>
          <w:rFonts w:ascii="仿宋" w:hAnsi="仿宋" w:eastAsia="微软雅黑" w:cs="仿宋"/>
          <w:szCs w:val="21"/>
        </w:rPr>
      </w:pPr>
      <w:r>
        <w:rPr>
          <w:rFonts w:hint="eastAsia" w:ascii="仿宋" w:hAnsi="仿宋" w:eastAsia="仿宋" w:cs="仿宋"/>
          <w:szCs w:val="21"/>
        </w:rPr>
        <w:t>（共6期，每期2学时，30分钟/学时）</w:t>
      </w:r>
    </w:p>
    <w:tbl>
      <w:tblPr>
        <w:tblStyle w:val="5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276"/>
        <w:gridCol w:w="5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模块</w:t>
            </w:r>
          </w:p>
        </w:tc>
        <w:tc>
          <w:tcPr>
            <w:tcW w:w="2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课程名称</w:t>
            </w:r>
          </w:p>
        </w:tc>
        <w:tc>
          <w:tcPr>
            <w:tcW w:w="5160" w:type="dxa"/>
            <w:vAlign w:val="center"/>
          </w:tcPr>
          <w:p>
            <w:pPr>
              <w:tabs>
                <w:tab w:val="center" w:pos="1726"/>
                <w:tab w:val="right" w:pos="3331"/>
              </w:tabs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基本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理念</w:t>
            </w:r>
          </w:p>
        </w:tc>
        <w:tc>
          <w:tcPr>
            <w:tcW w:w="2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游戏精神与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幼儿生活</w:t>
            </w:r>
          </w:p>
        </w:tc>
        <w:tc>
          <w:tcPr>
            <w:tcW w:w="516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1.游戏精神的内涵与外延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2.游戏精神与儿童发展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3.游戏精神与五大领域活动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基本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知识</w:t>
            </w:r>
          </w:p>
        </w:tc>
        <w:tc>
          <w:tcPr>
            <w:tcW w:w="2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课程游戏化建设</w:t>
            </w:r>
          </w:p>
        </w:tc>
        <w:tc>
          <w:tcPr>
            <w:tcW w:w="516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1.课程游戏化的基本思路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2.课程游戏化的原则与实践路径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3.幼儿园课程游戏化案例分析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教学游戏化探索</w:t>
            </w:r>
          </w:p>
        </w:tc>
        <w:tc>
          <w:tcPr>
            <w:tcW w:w="516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1.教学游戏化的理念与特征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2.教学游戏化的价值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3.教学游戏化的实现途径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97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基本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能力</w:t>
            </w:r>
          </w:p>
        </w:tc>
        <w:tc>
          <w:tcPr>
            <w:tcW w:w="2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幼儿游戏观察</w:t>
            </w:r>
          </w:p>
        </w:tc>
        <w:tc>
          <w:tcPr>
            <w:tcW w:w="516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1.游戏的观察与记录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2.游戏行为解读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3.应对策略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游戏环境创设</w:t>
            </w:r>
          </w:p>
        </w:tc>
        <w:tc>
          <w:tcPr>
            <w:tcW w:w="516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1.游戏环境创设的基本原则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2.室内外游戏环境创设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3.材料投放与幼儿行为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7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实践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应用</w:t>
            </w:r>
          </w:p>
        </w:tc>
        <w:tc>
          <w:tcPr>
            <w:tcW w:w="2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全国幼儿园优秀游戏活动案例展示</w:t>
            </w:r>
          </w:p>
        </w:tc>
        <w:tc>
          <w:tcPr>
            <w:tcW w:w="516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1.执教老师说课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2.游戏活动实录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3.专家点评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910BA"/>
    <w:rsid w:val="257910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00" w:lineRule="auto"/>
      <w:ind w:firstLine="880" w:firstLineChars="200"/>
      <w:outlineLvl w:val="0"/>
    </w:pPr>
    <w:rPr>
      <w:rFonts w:eastAsia="华文仿宋"/>
      <w:b/>
      <w:kern w:val="44"/>
      <w:sz w:val="28"/>
      <w:szCs w:val="2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2019-10-22T01:16:00Z</dcterms:created>
  <dc:creator>起飞</dc:creator>
  <cp:lastModifiedBy>起飞</cp:lastModifiedBy>
  <dcterms:modified xsi:type="dcterms:W3CDTF">2019-10-22T01:17:27Z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