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Chars="-95" w:hanging="285" w:hangingChars="95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/>
        <w:jc w:val="center"/>
        <w:textAlignment w:val="auto"/>
        <w:rPr>
          <w:rFonts w:ascii="黑体" w:hAnsi="Calibri"/>
          <w:kern w:val="2"/>
          <w:sz w:val="30"/>
          <w:szCs w:val="30"/>
        </w:rPr>
      </w:pPr>
      <w:r>
        <w:rPr>
          <w:rFonts w:ascii="黑体" w:hAnsi="Calibri"/>
          <w:kern w:val="2"/>
          <w:sz w:val="30"/>
          <w:szCs w:val="30"/>
        </w:rPr>
        <w:t>第一期全国中小学校教师党员专题网络培训选修课程列表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260"/>
        <w:gridCol w:w="1134"/>
        <w:gridCol w:w="3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课程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模块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课程名称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主讲人</w:t>
            </w:r>
          </w:p>
        </w:tc>
        <w:tc>
          <w:tcPr>
            <w:tcW w:w="33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教育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 xml:space="preserve">理念 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与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育人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方向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教育强国制度建设——新一轮教育体制机制改革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高书国</w:t>
            </w:r>
          </w:p>
        </w:tc>
        <w:tc>
          <w:tcPr>
            <w:tcW w:w="33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Style w:val="6"/>
                <w:rFonts w:hint="eastAsia"/>
                <w:color w:val="auto"/>
                <w:sz w:val="24"/>
                <w:szCs w:val="24"/>
              </w:rPr>
              <w:t>中国教育学会副秘书长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坚持立德树人，建设教育强国——学习贯彻全国教育大会精神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王炳林</w:t>
            </w:r>
          </w:p>
        </w:tc>
        <w:tc>
          <w:tcPr>
            <w:tcW w:w="33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eastAsia"/>
                <w:color w:val="auto"/>
                <w:sz w:val="24"/>
                <w:szCs w:val="24"/>
              </w:rPr>
            </w:pPr>
            <w:r>
              <w:rPr>
                <w:rStyle w:val="6"/>
                <w:rFonts w:hint="eastAsia"/>
                <w:sz w:val="24"/>
                <w:szCs w:val="24"/>
              </w:rPr>
              <w:t>教育部高等学校社会科学发展研究中心主任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新时代基础教育现代化的宏观形势与政策导向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Style w:val="6"/>
                <w:rFonts w:hint="eastAsia"/>
                <w:color w:val="auto"/>
                <w:sz w:val="24"/>
                <w:szCs w:val="24"/>
              </w:rPr>
              <w:t>张  力</w:t>
            </w:r>
          </w:p>
        </w:tc>
        <w:tc>
          <w:tcPr>
            <w:tcW w:w="33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CFCFC"/>
              </w:rPr>
            </w:pPr>
            <w:r>
              <w:rPr>
                <w:rStyle w:val="6"/>
                <w:rFonts w:hint="eastAsia"/>
                <w:color w:val="auto"/>
                <w:sz w:val="24"/>
                <w:szCs w:val="24"/>
              </w:rPr>
              <w:t>国家教育咨询委员会秘书长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“新素质教育”的实践与探索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Style w:val="6"/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王水发</w:t>
            </w:r>
          </w:p>
        </w:tc>
        <w:tc>
          <w:tcPr>
            <w:tcW w:w="33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eastAsia"/>
                <w:color w:val="auto"/>
                <w:sz w:val="24"/>
                <w:szCs w:val="24"/>
              </w:rPr>
            </w:pPr>
            <w:r>
              <w:rPr>
                <w:rStyle w:val="6"/>
                <w:rFonts w:hint="eastAsia"/>
                <w:color w:val="auto"/>
                <w:sz w:val="24"/>
                <w:szCs w:val="24"/>
              </w:rPr>
              <w:t>深圳市教育局党组成员、副局长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课程改革与课堂教学——课程改革进程中的一些思考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胡新懿</w:t>
            </w:r>
          </w:p>
        </w:tc>
        <w:tc>
          <w:tcPr>
            <w:tcW w:w="33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CFCFC"/>
              </w:rPr>
            </w:pPr>
            <w:r>
              <w:rPr>
                <w:rStyle w:val="6"/>
                <w:rFonts w:hint="eastAsia"/>
                <w:color w:val="auto"/>
                <w:sz w:val="24"/>
                <w:szCs w:val="24"/>
              </w:rPr>
              <w:t>教育部课程教材专委会委员、教育部课程改革试验区专家指导委员会委员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教学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 xml:space="preserve">技能 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与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教学</w:t>
            </w:r>
          </w:p>
          <w:p>
            <w:pPr>
              <w:widowControl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质量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Style w:val="6"/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有效解读·灵活设计·重点突破——提高备课的能力例谈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吉春亚</w:t>
            </w:r>
          </w:p>
        </w:tc>
        <w:tc>
          <w:tcPr>
            <w:tcW w:w="33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北京小学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>特级教师、</w:t>
            </w:r>
            <w:r>
              <w:rPr>
                <w:rFonts w:ascii="Times New Roman" w:hAnsi="Times New Roman" w:eastAsia="仿宋"/>
                <w:kern w:val="0"/>
                <w:sz w:val="24"/>
              </w:rPr>
              <w:t>教学副主任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/>
                <w:sz w:val="24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Style w:val="6"/>
                <w:rFonts w:hint="eastAsia"/>
                <w:color w:val="auto"/>
                <w:sz w:val="24"/>
                <w:szCs w:val="24"/>
              </w:rPr>
              <w:t>板书设计的作用和类型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Style w:val="6"/>
                <w:rFonts w:hint="eastAsia"/>
                <w:color w:val="auto"/>
                <w:sz w:val="24"/>
                <w:szCs w:val="24"/>
              </w:rPr>
              <w:t>蔡朝霞 等</w:t>
            </w:r>
          </w:p>
        </w:tc>
        <w:tc>
          <w:tcPr>
            <w:tcW w:w="3369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/>
                <w:kern w:val="0"/>
                <w:sz w:val="24"/>
              </w:rPr>
            </w:pPr>
            <w:r>
              <w:rPr>
                <w:rStyle w:val="6"/>
                <w:rFonts w:hint="eastAsia"/>
                <w:color w:val="auto"/>
                <w:sz w:val="24"/>
                <w:szCs w:val="24"/>
              </w:rPr>
              <w:t>深圳市龙岗区可园学校初中语文高级教师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/>
                <w:sz w:val="24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Style w:val="6"/>
                <w:rFonts w:hint="eastAsia"/>
                <w:color w:val="auto"/>
                <w:sz w:val="24"/>
                <w:szCs w:val="24"/>
              </w:rPr>
              <w:t>作业设计与批改的入门秘籍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赵  慧等</w:t>
            </w:r>
          </w:p>
        </w:tc>
        <w:tc>
          <w:tcPr>
            <w:tcW w:w="3369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北京市第八十中学白家庄校区主管校长、中学高级教师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心理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调适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与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健康</w:t>
            </w:r>
          </w:p>
          <w:p>
            <w:pPr>
              <w:widowControl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成长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textAlignment w:val="bottom"/>
              <w:rPr>
                <w:rStyle w:val="6"/>
                <w:rFonts w:hint="eastAsia"/>
                <w:color w:val="auto"/>
                <w:sz w:val="24"/>
                <w:szCs w:val="24"/>
              </w:rPr>
            </w:pPr>
            <w:r>
              <w:rPr>
                <w:rStyle w:val="6"/>
                <w:rFonts w:hint="eastAsia"/>
                <w:color w:val="auto"/>
                <w:sz w:val="24"/>
                <w:szCs w:val="24"/>
              </w:rPr>
              <w:t>积极心态、责任担当与压力调适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Style w:val="6"/>
                <w:rFonts w:hint="eastAsia"/>
                <w:color w:val="auto"/>
                <w:sz w:val="24"/>
                <w:szCs w:val="24"/>
              </w:rPr>
              <w:t>胡月星</w:t>
            </w:r>
          </w:p>
        </w:tc>
        <w:tc>
          <w:tcPr>
            <w:tcW w:w="3369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Style w:val="6"/>
                <w:rFonts w:hint="eastAsia"/>
                <w:color w:val="auto"/>
                <w:sz w:val="24"/>
                <w:szCs w:val="24"/>
              </w:rPr>
              <w:t>中共中央党校</w:t>
            </w:r>
            <w:r>
              <w:rPr>
                <w:rStyle w:val="6"/>
                <w:rFonts w:hint="eastAsia" w:eastAsia="仿宋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>国家行政学院</w:t>
            </w:r>
            <w:r>
              <w:rPr>
                <w:rStyle w:val="6"/>
                <w:rFonts w:hint="eastAsia" w:eastAsia="仿宋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>政治学教研部领导科学教研室主任、教授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widowControl/>
              <w:spacing w:line="360" w:lineRule="auto"/>
              <w:ind w:firstLine="240" w:firstLineChars="100"/>
              <w:rPr>
                <w:rFonts w:hint="eastAsia" w:ascii="Times New Roman" w:hAnsi="Times New Roman" w:eastAsia="仿宋"/>
                <w:sz w:val="24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textAlignment w:val="bottom"/>
              <w:rPr>
                <w:rStyle w:val="6"/>
                <w:rFonts w:hint="eastAsia"/>
                <w:color w:val="auto"/>
                <w:sz w:val="24"/>
                <w:szCs w:val="24"/>
              </w:rPr>
            </w:pPr>
            <w:r>
              <w:rPr>
                <w:rStyle w:val="6"/>
                <w:rFonts w:hint="eastAsia"/>
                <w:color w:val="auto"/>
                <w:sz w:val="24"/>
                <w:szCs w:val="24"/>
              </w:rPr>
              <w:t>和谐——从一致性沟通开始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Style w:val="6"/>
                <w:rFonts w:hint="eastAsia"/>
                <w:color w:val="auto"/>
                <w:sz w:val="24"/>
                <w:szCs w:val="24"/>
              </w:rPr>
              <w:t>蔺桂瑞</w:t>
            </w:r>
          </w:p>
        </w:tc>
        <w:tc>
          <w:tcPr>
            <w:tcW w:w="3369" w:type="dxa"/>
            <w:noWrap w:val="0"/>
            <w:vAlign w:val="center"/>
          </w:tcPr>
          <w:p>
            <w:pPr>
              <w:rPr>
                <w:rFonts w:hint="eastAsia"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首都师范大学教授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widowControl/>
              <w:spacing w:line="360" w:lineRule="auto"/>
              <w:ind w:firstLine="240" w:firstLineChars="100"/>
              <w:rPr>
                <w:rFonts w:hint="eastAsia" w:ascii="Times New Roman" w:hAnsi="Times New Roman" w:eastAsia="仿宋"/>
                <w:sz w:val="24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textAlignment w:val="bottom"/>
              <w:rPr>
                <w:rStyle w:val="6"/>
                <w:rFonts w:hint="eastAsia"/>
                <w:color w:val="auto"/>
                <w:sz w:val="24"/>
                <w:szCs w:val="24"/>
              </w:rPr>
            </w:pPr>
            <w:r>
              <w:rPr>
                <w:rStyle w:val="6"/>
                <w:rFonts w:hint="eastAsia"/>
                <w:color w:val="auto"/>
                <w:sz w:val="24"/>
                <w:szCs w:val="24"/>
              </w:rPr>
              <w:t>职业焦虑与心理调适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Style w:val="6"/>
                <w:rFonts w:hint="eastAsia"/>
                <w:color w:val="auto"/>
                <w:sz w:val="24"/>
                <w:szCs w:val="24"/>
              </w:rPr>
            </w:pPr>
            <w:r>
              <w:rPr>
                <w:rStyle w:val="6"/>
                <w:rFonts w:hint="eastAsia"/>
                <w:color w:val="auto"/>
                <w:sz w:val="24"/>
                <w:szCs w:val="24"/>
              </w:rPr>
              <w:t>胡月星</w:t>
            </w:r>
          </w:p>
        </w:tc>
        <w:tc>
          <w:tcPr>
            <w:tcW w:w="3369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/>
                <w:kern w:val="0"/>
                <w:sz w:val="24"/>
              </w:rPr>
            </w:pPr>
            <w:r>
              <w:rPr>
                <w:rStyle w:val="6"/>
                <w:rFonts w:hint="eastAsia"/>
                <w:color w:val="auto"/>
                <w:sz w:val="24"/>
                <w:szCs w:val="24"/>
              </w:rPr>
              <w:t>中共中央党校</w:t>
            </w:r>
            <w:r>
              <w:rPr>
                <w:rStyle w:val="6"/>
                <w:rFonts w:hint="eastAsia" w:eastAsia="仿宋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>国家行政学院</w:t>
            </w:r>
            <w:r>
              <w:rPr>
                <w:rStyle w:val="6"/>
                <w:rFonts w:hint="eastAsia" w:eastAsia="仿宋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>政治学教研部领导科学教研室主任、教授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职业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规划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与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专业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发展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教师专业成长的缘起、路径和归宿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张忠宝</w:t>
            </w:r>
          </w:p>
        </w:tc>
        <w:tc>
          <w:tcPr>
            <w:tcW w:w="33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辽宁省锦州市第八中学校长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widowControl/>
              <w:spacing w:line="360" w:lineRule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教师职业生涯规划三部曲——勤师、能师、名师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崔慧娟</w:t>
            </w:r>
          </w:p>
        </w:tc>
        <w:tc>
          <w:tcPr>
            <w:tcW w:w="33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辽宁省大连开发区第八高级中学政治教师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widowControl/>
              <w:spacing w:line="360" w:lineRule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中小学教师如何实现专业发展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闵嗣生</w:t>
            </w:r>
          </w:p>
        </w:tc>
        <w:tc>
          <w:tcPr>
            <w:tcW w:w="33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江西省宜春市奉新县第二中学党总支书记、副校长</w:t>
            </w:r>
          </w:p>
        </w:tc>
      </w:tr>
    </w:tbl>
    <w:p>
      <w:pPr>
        <w:widowControl/>
        <w:jc w:val="left"/>
        <w:textAlignment w:val="center"/>
        <w:rPr>
          <w:rFonts w:hint="eastAsia" w:ascii="仿宋" w:hAnsi="仿宋" w:eastAsia="仿宋" w:cs="仿宋"/>
          <w:kern w:val="0"/>
          <w:sz w:val="24"/>
          <w:lang w:bidi="ar"/>
        </w:rPr>
      </w:pPr>
      <w:r>
        <w:rPr>
          <w:rFonts w:hint="eastAsia" w:ascii="仿宋" w:hAnsi="仿宋" w:eastAsia="仿宋" w:cs="仿宋"/>
          <w:kern w:val="0"/>
          <w:sz w:val="24"/>
          <w:lang w:bidi="ar"/>
        </w:rPr>
        <w:t>说明：</w:t>
      </w:r>
      <w:r>
        <w:rPr>
          <w:rFonts w:ascii="Times New Roman" w:hAnsi="Times New Roman" w:eastAsia="仿宋"/>
          <w:kern w:val="0"/>
          <w:sz w:val="24"/>
          <w:lang w:bidi="ar"/>
        </w:rPr>
        <w:t>1</w:t>
      </w:r>
      <w:r>
        <w:rPr>
          <w:rFonts w:ascii="仿宋" w:hAnsi="仿宋" w:eastAsia="仿宋" w:cs="仿宋"/>
          <w:kern w:val="0"/>
          <w:sz w:val="24"/>
          <w:lang w:bidi="ar"/>
        </w:rPr>
        <w:t>.</w:t>
      </w:r>
      <w:r>
        <w:rPr>
          <w:rFonts w:hint="eastAsia" w:ascii="仿宋" w:hAnsi="仿宋" w:eastAsia="仿宋" w:cs="仿宋"/>
          <w:kern w:val="0"/>
          <w:sz w:val="24"/>
          <w:lang w:bidi="ar"/>
        </w:rPr>
        <w:t>具体课程或有调整，以平台最终发布为准；</w:t>
      </w:r>
    </w:p>
    <w:p>
      <w:pPr>
        <w:widowControl/>
        <w:ind w:firstLine="720" w:firstLineChars="300"/>
        <w:jc w:val="left"/>
        <w:textAlignment w:val="center"/>
        <w:rPr>
          <w:rFonts w:hint="eastAsia" w:ascii="黑体" w:eastAsia="黑体"/>
          <w:sz w:val="30"/>
          <w:szCs w:val="30"/>
        </w:rPr>
        <w:sectPr>
          <w:footerReference r:id="rId3" w:type="default"/>
          <w:pgSz w:w="11906" w:h="16838"/>
          <w:pgMar w:top="1440" w:right="1800" w:bottom="1440" w:left="1400" w:header="851" w:footer="992" w:gutter="0"/>
          <w:pgNumType w:fmt="decimal" w:start="2"/>
          <w:cols w:space="720" w:num="1"/>
          <w:docGrid w:type="lines" w:linePitch="312" w:charSpace="0"/>
        </w:sectPr>
      </w:pPr>
      <w:r>
        <w:rPr>
          <w:rFonts w:ascii="Times New Roman" w:hAnsi="Times New Roman" w:eastAsia="仿宋"/>
          <w:kern w:val="0"/>
          <w:sz w:val="24"/>
          <w:lang w:bidi="ar"/>
        </w:rPr>
        <w:t>2</w:t>
      </w:r>
      <w:r>
        <w:rPr>
          <w:rFonts w:ascii="仿宋" w:hAnsi="仿宋" w:eastAsia="仿宋" w:cs="仿宋"/>
          <w:kern w:val="0"/>
          <w:sz w:val="24"/>
          <w:lang w:bidi="ar"/>
        </w:rPr>
        <w:t>.</w:t>
      </w:r>
      <w:r>
        <w:rPr>
          <w:rFonts w:hint="eastAsia" w:ascii="仿宋" w:hAnsi="仿宋" w:eastAsia="仿宋" w:cs="仿宋"/>
          <w:kern w:val="0"/>
          <w:sz w:val="24"/>
          <w:lang w:bidi="ar"/>
        </w:rPr>
        <w:t>部分主讲人职务为当时课程录制时间的职务。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353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宋体" w:cs="Times New Roman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宋体" w:cs="Times New Roman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8140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ind w:leftChars="300"/>
      <w:jc w:val="left"/>
      <w:outlineLvl w:val="0"/>
    </w:pPr>
    <w:rPr>
      <w:rFonts w:hint="eastAsia" w:ascii="宋体" w:hAnsi="宋体" w:eastAsia="黑体" w:cs="宋体"/>
      <w:kern w:val="44"/>
      <w:sz w:val="28"/>
      <w:szCs w:val="48"/>
      <w:lang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111"/>
    <w:qFormat/>
    <w:uiPriority w:val="0"/>
    <w:rPr>
      <w:rFonts w:ascii="仿宋" w:hAnsi="仿宋" w:eastAsia="仿宋" w:cs="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/xig一叶编舟</cp:lastModifiedBy>
  <dcterms:modified xsi:type="dcterms:W3CDTF">2019-10-17T02:01:09Z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2052-11.1.0.9137</vt:lpwstr>
  </property>
</Properties>
</file>