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高校教师信息化教学能力提升专题网络培训</w:t>
      </w: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  <w:szCs w:val="32"/>
        </w:rPr>
        <w:t>部分精品课程列表</w:t>
      </w:r>
    </w:p>
    <w:tbl>
      <w:tblPr>
        <w:tblStyle w:val="3"/>
        <w:tblW w:w="8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课程模块</w:t>
            </w:r>
          </w:p>
        </w:tc>
        <w:tc>
          <w:tcPr>
            <w:tcW w:w="66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信息化教学入门</w:t>
            </w:r>
          </w:p>
        </w:tc>
        <w:tc>
          <w:tcPr>
            <w:tcW w:w="666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科技与教学——信息时代的教与学特征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信息技术与教学融合的系统化研究：理论探索、技术构建与组织变革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四步教你变身高富帅PPT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62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微课设计与制作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信息化教学设计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以学生为中心的课程教学设计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62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基于雨课堂的智慧教学设计与实践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6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教与学共同改进的炼“金”之法——基于BOPPPS、对分、雨课堂的混合式课堂教学模式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信息化教学实践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信息技术与高校教学模式创新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6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在线课程应用/借用/快建及“混合+翻转”教学模式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62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网络空间支持下的混合式教学——华中师范大学的思考与探索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6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增强现实技术及其在远程实验教学中的应用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信息化课程开发</w:t>
            </w:r>
          </w:p>
        </w:tc>
        <w:tc>
          <w:tcPr>
            <w:tcW w:w="6662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信息时代的网络教学支撑环境与教学资源建设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6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多媒体认知理论指导下的教学资源建设与应用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6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在线开放课程的建设与应用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6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如何打造信息时代的“金课”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信息安全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防护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教育管理公共服务平台与网络安全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666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全面解读《网络安全法》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666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网络空间安全新挑战及个人信息防护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666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安全使用应用软件</w:t>
            </w:r>
          </w:p>
        </w:tc>
      </w:tr>
    </w:tbl>
    <w:p>
      <w:pPr>
        <w:spacing w:line="360" w:lineRule="auto"/>
        <w:ind w:firstLine="105" w:firstLineChars="50"/>
        <w:textAlignment w:val="baseline"/>
      </w:pP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说明：个别课程或稍有</w:t>
      </w:r>
      <w:r>
        <w:rPr>
          <w:rFonts w:hint="eastAsia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添加及</w:t>
      </w: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调整，请以平台最终发布课程为准；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F105F"/>
    <w:rsid w:val="253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2020-04-14T06:35:00Z</dcterms:created>
  <dc:creator>Administrator</dc:creator>
  <cp:lastModifiedBy>Administrator</cp:lastModifiedBy>
  <dcterms:modified xsi:type="dcterms:W3CDTF">2020-04-14T06:36:17Z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