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宋体" w:eastAsia="黑体" w:cs="黑体"/>
          <w:sz w:val="32"/>
          <w:szCs w:val="32"/>
        </w:rPr>
        <w:t>附件1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双高学校建设数据采集表</w:t>
      </w:r>
    </w:p>
    <w:tbl>
      <w:tblPr>
        <w:tblStyle w:val="11"/>
        <w:tblW w:w="81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16"/>
        <w:gridCol w:w="778"/>
        <w:gridCol w:w="65"/>
        <w:gridCol w:w="708"/>
        <w:gridCol w:w="1351"/>
        <w:gridCol w:w="911"/>
        <w:gridCol w:w="165"/>
        <w:gridCol w:w="60"/>
        <w:gridCol w:w="686"/>
        <w:gridCol w:w="453"/>
        <w:gridCol w:w="458"/>
        <w:gridCol w:w="308"/>
        <w:gridCol w:w="369"/>
        <w:gridCol w:w="234"/>
        <w:gridCol w:w="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03" w:hRule="atLeast"/>
          <w:jc w:val="center"/>
        </w:trPr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15"/>
                <w:szCs w:val="15"/>
              </w:rPr>
              <w:t>项目建设学校全称</w:t>
            </w:r>
          </w:p>
        </w:tc>
        <w:tc>
          <w:tcPr>
            <w:tcW w:w="32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9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15"/>
                <w:szCs w:val="15"/>
              </w:rPr>
              <w:t>类别（双高建设基础）</w:t>
            </w: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15"/>
                <w:szCs w:val="15"/>
              </w:rPr>
              <w:t>专业群（1）名称</w:t>
            </w:r>
          </w:p>
        </w:tc>
        <w:tc>
          <w:tcPr>
            <w:tcW w:w="32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9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15"/>
                <w:szCs w:val="15"/>
              </w:rPr>
              <w:t>专业群（2）名称</w:t>
            </w: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b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15"/>
                <w:szCs w:val="15"/>
              </w:rPr>
              <w:t>项目</w:t>
            </w:r>
          </w:p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b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15"/>
                <w:szCs w:val="15"/>
              </w:rPr>
              <w:t>资金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15"/>
                <w:szCs w:val="15"/>
              </w:rPr>
              <w:t>（元）</w:t>
            </w:r>
          </w:p>
        </w:tc>
        <w:tc>
          <w:tcPr>
            <w:tcW w:w="290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b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15"/>
                <w:szCs w:val="15"/>
              </w:rPr>
              <w:t>具体事项</w:t>
            </w:r>
          </w:p>
        </w:tc>
        <w:tc>
          <w:tcPr>
            <w:tcW w:w="455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b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15"/>
                <w:szCs w:val="15"/>
              </w:rPr>
              <w:t>分年度数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90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b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15"/>
                <w:szCs w:val="15"/>
              </w:rPr>
              <w:t>2019年度</w:t>
            </w:r>
          </w:p>
        </w:tc>
        <w:tc>
          <w:tcPr>
            <w:tcW w:w="9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b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15"/>
                <w:szCs w:val="15"/>
              </w:rPr>
              <w:t xml:space="preserve">2020年度 </w:t>
            </w:r>
          </w:p>
        </w:tc>
        <w:tc>
          <w:tcPr>
            <w:tcW w:w="9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b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15"/>
                <w:szCs w:val="15"/>
              </w:rPr>
              <w:t>2021年度</w:t>
            </w:r>
          </w:p>
        </w:tc>
        <w:tc>
          <w:tcPr>
            <w:tcW w:w="9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b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15"/>
                <w:szCs w:val="15"/>
              </w:rPr>
              <w:t>2022年度</w:t>
            </w: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b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15"/>
                <w:szCs w:val="15"/>
              </w:rPr>
              <w:t>2023年度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b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15"/>
                <w:szCs w:val="15"/>
              </w:rPr>
              <w:t>预算安排情况</w:t>
            </w:r>
          </w:p>
        </w:tc>
        <w:tc>
          <w:tcPr>
            <w:tcW w:w="2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合计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9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9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9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righ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中央财政投入资金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9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9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9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righ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地方各级财政投入资金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9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9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9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righ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举办方投入资金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9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9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9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righ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行业企业支持资金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9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9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9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righ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学校自筹资金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9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9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9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b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15"/>
                <w:szCs w:val="15"/>
              </w:rPr>
              <w:t>资金</w:t>
            </w:r>
          </w:p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b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15"/>
                <w:szCs w:val="15"/>
              </w:rPr>
              <w:t>使用</w:t>
            </w:r>
          </w:p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b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15"/>
                <w:szCs w:val="15"/>
              </w:rPr>
              <w:t>情况</w:t>
            </w:r>
          </w:p>
        </w:tc>
        <w:tc>
          <w:tcPr>
            <w:tcW w:w="2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合计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9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9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9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righ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中央财政投入资金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9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9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9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righ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地方各级财政投入资金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9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9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9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righ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举办方投入资金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9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9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9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righ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行业企业支持资金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9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9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9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righ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学校自筹资金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9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9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9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b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15"/>
                <w:szCs w:val="15"/>
              </w:rPr>
              <w:t>绩效</w:t>
            </w:r>
          </w:p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b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15"/>
                <w:szCs w:val="15"/>
              </w:rPr>
              <w:t>指标</w:t>
            </w:r>
          </w:p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8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b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15"/>
                <w:szCs w:val="15"/>
              </w:rPr>
              <w:t>一级</w:t>
            </w:r>
          </w:p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b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15"/>
                <w:szCs w:val="15"/>
              </w:rPr>
              <w:t>指标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b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15"/>
                <w:szCs w:val="15"/>
              </w:rPr>
              <w:t>二级</w:t>
            </w:r>
          </w:p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b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15"/>
                <w:szCs w:val="15"/>
              </w:rPr>
              <w:t>指标</w:t>
            </w:r>
          </w:p>
        </w:tc>
        <w:tc>
          <w:tcPr>
            <w:tcW w:w="242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b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15"/>
                <w:szCs w:val="15"/>
              </w:rPr>
              <w:t>三级指标</w:t>
            </w:r>
          </w:p>
        </w:tc>
        <w:tc>
          <w:tcPr>
            <w:tcW w:w="233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b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15"/>
                <w:szCs w:val="15"/>
              </w:rPr>
              <w:t>目标值（累计数）</w:t>
            </w:r>
          </w:p>
        </w:tc>
        <w:tc>
          <w:tcPr>
            <w:tcW w:w="1147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b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15"/>
                <w:szCs w:val="15"/>
              </w:rPr>
              <w:t>实现值</w:t>
            </w:r>
            <w:r>
              <w:rPr>
                <w:rFonts w:hint="eastAsia" w:ascii="微软雅黑" w:hAnsi="微软雅黑" w:eastAsia="微软雅黑" w:cs="微软雅黑"/>
                <w:b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kern w:val="0"/>
                <w:sz w:val="15"/>
                <w:szCs w:val="15"/>
              </w:rPr>
              <w:t>（累计数）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59" w:hRule="atLeast"/>
          <w:jc w:val="center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b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15"/>
                <w:szCs w:val="15"/>
              </w:rPr>
              <w:t>实施期满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b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15"/>
                <w:szCs w:val="15"/>
              </w:rPr>
              <w:t>阶段性</w:t>
            </w:r>
          </w:p>
        </w:tc>
        <w:tc>
          <w:tcPr>
            <w:tcW w:w="114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55" w:hRule="exact"/>
          <w:jc w:val="center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1.</w:t>
            </w:r>
          </w:p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产出</w:t>
            </w:r>
          </w:p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指标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1.1</w:t>
            </w:r>
          </w:p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数量</w:t>
            </w:r>
          </w:p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指标</w:t>
            </w:r>
          </w:p>
        </w:tc>
        <w:tc>
          <w:tcPr>
            <w:tcW w:w="2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1.1.1打造技术技能人才培养高地</w:t>
            </w:r>
          </w:p>
        </w:tc>
        <w:tc>
          <w:tcPr>
            <w:tcW w:w="11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55" w:hRule="exact"/>
          <w:jc w:val="center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……</w:t>
            </w:r>
          </w:p>
        </w:tc>
        <w:tc>
          <w:tcPr>
            <w:tcW w:w="11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55" w:hRule="exact"/>
          <w:jc w:val="center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1.1.2打造技术技能创新服务平台</w:t>
            </w:r>
          </w:p>
        </w:tc>
        <w:tc>
          <w:tcPr>
            <w:tcW w:w="11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55" w:hRule="exact"/>
          <w:jc w:val="center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……</w:t>
            </w:r>
          </w:p>
        </w:tc>
        <w:tc>
          <w:tcPr>
            <w:tcW w:w="11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55" w:hRule="exact"/>
          <w:jc w:val="center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1.1.3打造高水平专业群</w:t>
            </w:r>
          </w:p>
        </w:tc>
        <w:tc>
          <w:tcPr>
            <w:tcW w:w="11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55" w:hRule="exact"/>
          <w:jc w:val="center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……</w:t>
            </w:r>
          </w:p>
        </w:tc>
        <w:tc>
          <w:tcPr>
            <w:tcW w:w="11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55" w:hRule="exact"/>
          <w:jc w:val="center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1.1.4打造高水平双师队伍</w:t>
            </w:r>
          </w:p>
        </w:tc>
        <w:tc>
          <w:tcPr>
            <w:tcW w:w="11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55" w:hRule="exact"/>
          <w:jc w:val="center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……</w:t>
            </w:r>
          </w:p>
        </w:tc>
        <w:tc>
          <w:tcPr>
            <w:tcW w:w="11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55" w:hRule="exact"/>
          <w:jc w:val="center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1.1.5提升校企合作水平</w:t>
            </w:r>
          </w:p>
        </w:tc>
        <w:tc>
          <w:tcPr>
            <w:tcW w:w="11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55" w:hRule="exact"/>
          <w:jc w:val="center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……</w:t>
            </w:r>
          </w:p>
        </w:tc>
        <w:tc>
          <w:tcPr>
            <w:tcW w:w="11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55" w:hRule="exact"/>
          <w:jc w:val="center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1.1.6提升服务发展水平</w:t>
            </w:r>
          </w:p>
        </w:tc>
        <w:tc>
          <w:tcPr>
            <w:tcW w:w="11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55" w:hRule="exact"/>
          <w:jc w:val="center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5"/>
                <w:szCs w:val="15"/>
              </w:rPr>
              <w:t>……</w:t>
            </w:r>
          </w:p>
        </w:tc>
        <w:tc>
          <w:tcPr>
            <w:tcW w:w="11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55" w:hRule="exact"/>
          <w:jc w:val="center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1.1.7提升学校治理水平</w:t>
            </w:r>
          </w:p>
        </w:tc>
        <w:tc>
          <w:tcPr>
            <w:tcW w:w="11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55" w:hRule="exact"/>
          <w:jc w:val="center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5"/>
                <w:szCs w:val="15"/>
              </w:rPr>
              <w:t>……</w:t>
            </w:r>
          </w:p>
        </w:tc>
        <w:tc>
          <w:tcPr>
            <w:tcW w:w="11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55" w:hRule="exact"/>
          <w:jc w:val="center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1.1.8提升信息化水平</w:t>
            </w:r>
          </w:p>
        </w:tc>
        <w:tc>
          <w:tcPr>
            <w:tcW w:w="11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55" w:hRule="exact"/>
          <w:jc w:val="center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5"/>
                <w:szCs w:val="15"/>
              </w:rPr>
              <w:t>……</w:t>
            </w:r>
          </w:p>
        </w:tc>
        <w:tc>
          <w:tcPr>
            <w:tcW w:w="11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55" w:hRule="exact"/>
          <w:jc w:val="center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1.1.9提升国际化水平</w:t>
            </w:r>
          </w:p>
        </w:tc>
        <w:tc>
          <w:tcPr>
            <w:tcW w:w="11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55" w:hRule="exact"/>
          <w:jc w:val="center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……</w:t>
            </w:r>
          </w:p>
        </w:tc>
        <w:tc>
          <w:tcPr>
            <w:tcW w:w="11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55" w:hRule="exact"/>
          <w:jc w:val="center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1.2质量指标</w:t>
            </w:r>
          </w:p>
        </w:tc>
        <w:tc>
          <w:tcPr>
            <w:tcW w:w="2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1.2.1打造技术技能人才培养高地</w:t>
            </w:r>
          </w:p>
        </w:tc>
        <w:tc>
          <w:tcPr>
            <w:tcW w:w="11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55" w:hRule="exact"/>
          <w:jc w:val="center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……</w:t>
            </w:r>
          </w:p>
        </w:tc>
        <w:tc>
          <w:tcPr>
            <w:tcW w:w="11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55" w:hRule="exact"/>
          <w:jc w:val="center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1.2.2打造技术技能创新服务平台</w:t>
            </w:r>
          </w:p>
        </w:tc>
        <w:tc>
          <w:tcPr>
            <w:tcW w:w="11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55" w:hRule="exact"/>
          <w:jc w:val="center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……</w:t>
            </w:r>
          </w:p>
        </w:tc>
        <w:tc>
          <w:tcPr>
            <w:tcW w:w="11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55" w:hRule="exact"/>
          <w:jc w:val="center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1.2.3打造高水平专业群</w:t>
            </w:r>
          </w:p>
        </w:tc>
        <w:tc>
          <w:tcPr>
            <w:tcW w:w="11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55" w:hRule="exact"/>
          <w:jc w:val="center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……</w:t>
            </w:r>
          </w:p>
        </w:tc>
        <w:tc>
          <w:tcPr>
            <w:tcW w:w="11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55" w:hRule="exact"/>
          <w:jc w:val="center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1.2.4打造高水平双师队伍</w:t>
            </w:r>
          </w:p>
        </w:tc>
        <w:tc>
          <w:tcPr>
            <w:tcW w:w="11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55" w:hRule="exact"/>
          <w:jc w:val="center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……</w:t>
            </w:r>
          </w:p>
        </w:tc>
        <w:tc>
          <w:tcPr>
            <w:tcW w:w="11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55" w:hRule="exact"/>
          <w:jc w:val="center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1.2.5提升校企合作水平</w:t>
            </w:r>
          </w:p>
        </w:tc>
        <w:tc>
          <w:tcPr>
            <w:tcW w:w="11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55" w:hRule="exact"/>
          <w:jc w:val="center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……</w:t>
            </w:r>
          </w:p>
        </w:tc>
        <w:tc>
          <w:tcPr>
            <w:tcW w:w="11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55" w:hRule="exact"/>
          <w:jc w:val="center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1.2.6提升服务发展水平</w:t>
            </w:r>
          </w:p>
        </w:tc>
        <w:tc>
          <w:tcPr>
            <w:tcW w:w="11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55" w:hRule="exact"/>
          <w:jc w:val="center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5"/>
                <w:szCs w:val="15"/>
              </w:rPr>
              <w:t>……</w:t>
            </w:r>
          </w:p>
        </w:tc>
        <w:tc>
          <w:tcPr>
            <w:tcW w:w="11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55" w:hRule="exact"/>
          <w:jc w:val="center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1.2.7提升学校治理水平</w:t>
            </w:r>
          </w:p>
        </w:tc>
        <w:tc>
          <w:tcPr>
            <w:tcW w:w="11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55" w:hRule="exact"/>
          <w:jc w:val="center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5"/>
                <w:szCs w:val="15"/>
              </w:rPr>
              <w:t>……</w:t>
            </w:r>
          </w:p>
        </w:tc>
        <w:tc>
          <w:tcPr>
            <w:tcW w:w="11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55" w:hRule="exact"/>
          <w:jc w:val="center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1.2.8提升信息化水平</w:t>
            </w:r>
          </w:p>
        </w:tc>
        <w:tc>
          <w:tcPr>
            <w:tcW w:w="11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55" w:hRule="exact"/>
          <w:jc w:val="center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……</w:t>
            </w:r>
          </w:p>
        </w:tc>
        <w:tc>
          <w:tcPr>
            <w:tcW w:w="11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55" w:hRule="exact"/>
          <w:jc w:val="center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1.2.9提升国际化水平</w:t>
            </w:r>
          </w:p>
        </w:tc>
        <w:tc>
          <w:tcPr>
            <w:tcW w:w="11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55" w:hRule="exact"/>
          <w:jc w:val="center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……</w:t>
            </w:r>
          </w:p>
        </w:tc>
        <w:tc>
          <w:tcPr>
            <w:tcW w:w="11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55" w:hRule="exact"/>
          <w:jc w:val="center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1.3时效指标</w:t>
            </w:r>
          </w:p>
        </w:tc>
        <w:tc>
          <w:tcPr>
            <w:tcW w:w="2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1.3.1任务完成进度（%）</w:t>
            </w:r>
          </w:p>
        </w:tc>
        <w:tc>
          <w:tcPr>
            <w:tcW w:w="11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55" w:hRule="exact"/>
          <w:jc w:val="center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……</w:t>
            </w:r>
          </w:p>
        </w:tc>
        <w:tc>
          <w:tcPr>
            <w:tcW w:w="11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2.</w:t>
            </w:r>
          </w:p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效益</w:t>
            </w:r>
          </w:p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指标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2.1社会效益指标</w:t>
            </w:r>
          </w:p>
        </w:tc>
        <w:tc>
          <w:tcPr>
            <w:tcW w:w="2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2.1.1引领职业教育改革发展和人才培养的贡献度</w:t>
            </w:r>
          </w:p>
        </w:tc>
        <w:tc>
          <w:tcPr>
            <w:tcW w:w="11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2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......</w:t>
            </w:r>
          </w:p>
        </w:tc>
        <w:tc>
          <w:tcPr>
            <w:tcW w:w="11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2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2</w:t>
            </w:r>
            <w:r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  <w:t>.1.2</w:t>
            </w: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支撑国家战略和区域经济社会发展的贡献度</w:t>
            </w:r>
          </w:p>
        </w:tc>
        <w:tc>
          <w:tcPr>
            <w:tcW w:w="11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2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......</w:t>
            </w:r>
          </w:p>
        </w:tc>
        <w:tc>
          <w:tcPr>
            <w:tcW w:w="11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2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2</w:t>
            </w:r>
            <w:r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  <w:t>.1.3</w:t>
            </w: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推动形成一批国家层面有效支撑职业教育高质量发展的政策、制度、标准的贡献度</w:t>
            </w:r>
          </w:p>
        </w:tc>
        <w:tc>
          <w:tcPr>
            <w:tcW w:w="11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……</w:t>
            </w:r>
          </w:p>
        </w:tc>
        <w:tc>
          <w:tcPr>
            <w:tcW w:w="11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2.2可持续影响指标</w:t>
            </w:r>
          </w:p>
        </w:tc>
        <w:tc>
          <w:tcPr>
            <w:tcW w:w="2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2.2.1项目标志性成果可持续影响的时间（年/项）</w:t>
            </w:r>
          </w:p>
        </w:tc>
        <w:tc>
          <w:tcPr>
            <w:tcW w:w="11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……</w:t>
            </w:r>
          </w:p>
        </w:tc>
        <w:tc>
          <w:tcPr>
            <w:tcW w:w="11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55" w:hRule="exact"/>
          <w:jc w:val="center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3.</w:t>
            </w:r>
          </w:p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满意度</w:t>
            </w:r>
          </w:p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指标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3.1服务对象满意度指标</w:t>
            </w:r>
          </w:p>
        </w:tc>
        <w:tc>
          <w:tcPr>
            <w:tcW w:w="2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3.1.1在校生满意度（%）</w:t>
            </w:r>
          </w:p>
        </w:tc>
        <w:tc>
          <w:tcPr>
            <w:tcW w:w="11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55" w:hRule="exact"/>
          <w:jc w:val="center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3.1.2毕业生满意度（%）</w:t>
            </w:r>
          </w:p>
        </w:tc>
        <w:tc>
          <w:tcPr>
            <w:tcW w:w="11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55" w:hRule="exact"/>
          <w:jc w:val="center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3.1.3教职工满意度（%）</w:t>
            </w:r>
          </w:p>
        </w:tc>
        <w:tc>
          <w:tcPr>
            <w:tcW w:w="11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55" w:hRule="exact"/>
          <w:jc w:val="center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3.1.4用人单位满意度（%）</w:t>
            </w:r>
          </w:p>
        </w:tc>
        <w:tc>
          <w:tcPr>
            <w:tcW w:w="11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55" w:hRule="exact"/>
          <w:jc w:val="center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left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3.1.5家长满意度（%）</w:t>
            </w:r>
          </w:p>
        </w:tc>
        <w:tc>
          <w:tcPr>
            <w:tcW w:w="11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b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15"/>
                <w:szCs w:val="15"/>
              </w:rPr>
              <w:t>其他需要</w:t>
            </w:r>
          </w:p>
          <w:p>
            <w:pPr>
              <w:widowControl/>
              <w:jc w:val="center"/>
              <w:rPr>
                <w:rFonts w:ascii="微软雅黑" w:hAnsi="微软雅黑" w:eastAsia="微软雅黑" w:cs="微软雅黑"/>
                <w:b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15"/>
                <w:szCs w:val="15"/>
              </w:rPr>
              <w:t>特别说明</w:t>
            </w:r>
          </w:p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15"/>
                <w:szCs w:val="15"/>
              </w:rPr>
              <w:t>的问题</w:t>
            </w:r>
          </w:p>
        </w:tc>
        <w:tc>
          <w:tcPr>
            <w:tcW w:w="7459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kern w:val="0"/>
                <w:sz w:val="15"/>
                <w:szCs w:val="15"/>
              </w:rPr>
            </w:pPr>
          </w:p>
        </w:tc>
      </w:tr>
    </w:tbl>
    <w:p>
      <w:pPr>
        <w:rPr>
          <w:rFonts w:ascii="微软雅黑" w:hAnsi="微软雅黑" w:eastAsia="微软雅黑" w:cs="微软雅黑"/>
          <w:bCs/>
          <w:kern w:val="0"/>
          <w:sz w:val="15"/>
          <w:szCs w:val="15"/>
        </w:rPr>
      </w:pPr>
      <w:r>
        <w:rPr>
          <w:rFonts w:hint="eastAsia" w:ascii="微软雅黑" w:hAnsi="微软雅黑" w:eastAsia="微软雅黑" w:cs="微软雅黑"/>
          <w:b/>
          <w:kern w:val="0"/>
          <w:sz w:val="15"/>
          <w:szCs w:val="15"/>
        </w:rPr>
        <w:t>备注</w:t>
      </w:r>
      <w:r>
        <w:rPr>
          <w:rFonts w:hint="eastAsia" w:ascii="微软雅黑" w:hAnsi="微软雅黑" w:eastAsia="微软雅黑" w:cs="微软雅黑"/>
          <w:bCs/>
          <w:kern w:val="0"/>
          <w:sz w:val="15"/>
          <w:szCs w:val="15"/>
        </w:rPr>
        <w:t>：1. 中央财政投入资金是指现代职业教育质量提升计划资金中，按照分类分档支持标准安排的奖补资金。</w:t>
      </w:r>
    </w:p>
    <w:p>
      <w:pPr>
        <w:numPr>
          <w:ilvl w:val="0"/>
          <w:numId w:val="1"/>
        </w:numPr>
        <w:ind w:firstLine="450" w:firstLineChars="300"/>
        <w:rPr>
          <w:rFonts w:ascii="微软雅黑" w:hAnsi="微软雅黑" w:eastAsia="微软雅黑" w:cs="微软雅黑"/>
          <w:bCs/>
          <w:kern w:val="0"/>
          <w:sz w:val="15"/>
          <w:szCs w:val="15"/>
        </w:rPr>
      </w:pPr>
      <w:r>
        <w:rPr>
          <w:rFonts w:hint="eastAsia" w:ascii="微软雅黑" w:hAnsi="微软雅黑" w:eastAsia="微软雅黑" w:cs="微软雅黑"/>
          <w:bCs/>
          <w:kern w:val="0"/>
          <w:sz w:val="15"/>
          <w:szCs w:val="15"/>
        </w:rPr>
        <w:t>地方各级财政投入资金是指地方各级财政部门安排的用于支持“双高计划”的投入</w:t>
      </w:r>
    </w:p>
    <w:p>
      <w:pPr>
        <w:numPr>
          <w:ilvl w:val="0"/>
          <w:numId w:val="1"/>
        </w:numPr>
        <w:ind w:firstLine="450" w:firstLineChars="300"/>
        <w:rPr>
          <w:rFonts w:ascii="微软雅黑" w:hAnsi="微软雅黑" w:eastAsia="微软雅黑" w:cs="微软雅黑"/>
          <w:bCs/>
          <w:kern w:val="0"/>
          <w:sz w:val="15"/>
          <w:szCs w:val="15"/>
        </w:rPr>
      </w:pPr>
      <w:r>
        <w:rPr>
          <w:rFonts w:hint="eastAsia" w:ascii="微软雅黑" w:hAnsi="微软雅黑" w:eastAsia="微软雅黑" w:cs="微软雅黑"/>
          <w:bCs/>
          <w:kern w:val="0"/>
          <w:sz w:val="15"/>
          <w:szCs w:val="15"/>
        </w:rPr>
        <w:t>举办方投入资金仅指非政府举办的职业院校举办方投入的用于支持“双高计划”的投入。</w:t>
      </w:r>
    </w:p>
    <w:p>
      <w:pPr>
        <w:numPr>
          <w:ilvl w:val="0"/>
          <w:numId w:val="1"/>
        </w:numPr>
        <w:ind w:firstLine="450" w:firstLineChars="300"/>
        <w:rPr>
          <w:rFonts w:ascii="微软雅黑" w:hAnsi="微软雅黑" w:eastAsia="微软雅黑" w:cs="微软雅黑"/>
          <w:bCs/>
          <w:kern w:val="0"/>
          <w:sz w:val="15"/>
          <w:szCs w:val="15"/>
        </w:rPr>
      </w:pPr>
      <w:r>
        <w:rPr>
          <w:rFonts w:hint="eastAsia" w:ascii="微软雅黑" w:hAnsi="微软雅黑" w:eastAsia="微软雅黑" w:cs="微软雅黑"/>
          <w:bCs/>
          <w:kern w:val="0"/>
          <w:sz w:val="15"/>
          <w:szCs w:val="15"/>
        </w:rPr>
        <w:t>行业企业支持资金是指行业企业投入的用于“双高计划”的社会资金。学校可用于“双高计划”建设的“以服务求发展”筹集的社会资金是行业企业支持资金的组成部分。</w:t>
      </w:r>
    </w:p>
    <w:p>
      <w:pPr>
        <w:numPr>
          <w:ilvl w:val="0"/>
          <w:numId w:val="1"/>
        </w:numPr>
        <w:ind w:firstLine="450" w:firstLineChars="300"/>
        <w:rPr>
          <w:rFonts w:ascii="微软雅黑" w:hAnsi="微软雅黑" w:eastAsia="微软雅黑" w:cs="微软雅黑"/>
          <w:bCs/>
          <w:kern w:val="0"/>
          <w:sz w:val="15"/>
          <w:szCs w:val="15"/>
        </w:rPr>
      </w:pPr>
      <w:r>
        <w:rPr>
          <w:rFonts w:hint="eastAsia" w:ascii="微软雅黑" w:hAnsi="微软雅黑" w:eastAsia="微软雅黑" w:cs="微软雅黑"/>
          <w:bCs/>
          <w:kern w:val="0"/>
          <w:sz w:val="15"/>
          <w:szCs w:val="15"/>
        </w:rPr>
        <w:t>可用于“双高计划”建设的学校事业收入、其他收入是学校自筹资金的主要来源。财政按照生均拨款制度安排的日常运转经费不列入其中。</w:t>
      </w:r>
    </w:p>
    <w:p>
      <w:pPr>
        <w:ind w:firstLine="450" w:firstLineChars="300"/>
        <w:rPr>
          <w:rFonts w:ascii="微软雅黑" w:hAnsi="微软雅黑" w:eastAsia="微软雅黑" w:cs="微软雅黑"/>
          <w:bCs/>
          <w:kern w:val="0"/>
          <w:sz w:val="15"/>
          <w:szCs w:val="15"/>
        </w:rPr>
        <w:sectPr>
          <w:pgSz w:w="11906" w:h="16838"/>
          <w:pgMar w:top="1134" w:right="1800" w:bottom="851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微软雅黑" w:hAnsi="微软雅黑" w:eastAsia="微软雅黑" w:cs="微软雅黑"/>
          <w:bCs/>
          <w:kern w:val="0"/>
          <w:sz w:val="15"/>
          <w:szCs w:val="15"/>
        </w:rPr>
        <w:t>6.“双高计划”学校需要提供5个左右反映十大建设任务的案例，原则上每个案例字数不少于500字。</w:t>
      </w:r>
    </w:p>
    <w:p/>
    <w:p/>
    <w:sectPr>
      <w:pgSz w:w="11906" w:h="16838"/>
      <w:pgMar w:top="1440" w:right="1644" w:bottom="1197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9FD2341"/>
    <w:multiLevelType w:val="singleLevel"/>
    <w:tmpl w:val="E9FD2341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C0395"/>
    <w:rsid w:val="00111782"/>
    <w:rsid w:val="008239F7"/>
    <w:rsid w:val="07AE4173"/>
    <w:rsid w:val="088741D5"/>
    <w:rsid w:val="0A0822B0"/>
    <w:rsid w:val="0D166592"/>
    <w:rsid w:val="1557038A"/>
    <w:rsid w:val="1ADD27B9"/>
    <w:rsid w:val="297E2100"/>
    <w:rsid w:val="2AF4473C"/>
    <w:rsid w:val="352521D8"/>
    <w:rsid w:val="35845383"/>
    <w:rsid w:val="3A1B44B1"/>
    <w:rsid w:val="3A9F1657"/>
    <w:rsid w:val="3C99472D"/>
    <w:rsid w:val="3CB7041A"/>
    <w:rsid w:val="432F1B55"/>
    <w:rsid w:val="43B02775"/>
    <w:rsid w:val="488662DF"/>
    <w:rsid w:val="527A795E"/>
    <w:rsid w:val="65E764EB"/>
    <w:rsid w:val="6DCC0395"/>
    <w:rsid w:val="746C6B3C"/>
    <w:rsid w:val="75C1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qFormat/>
    <w:uiPriority w:val="0"/>
    <w:rPr>
      <w:color w:val="800080"/>
      <w:u w:val="none"/>
    </w:rPr>
  </w:style>
  <w:style w:type="character" w:styleId="9">
    <w:name w:val="Hyperlink"/>
    <w:basedOn w:val="7"/>
    <w:qFormat/>
    <w:uiPriority w:val="0"/>
    <w:rPr>
      <w:color w:val="0000FF"/>
      <w:u w:val="none"/>
    </w:rPr>
  </w:style>
  <w:style w:type="character" w:customStyle="1" w:styleId="10">
    <w:name w:val="hover21"/>
    <w:basedOn w:val="7"/>
    <w:qFormat/>
    <w:uiPriority w:val="0"/>
    <w:rPr>
      <w:color w:val="557EE7"/>
    </w:rPr>
  </w:style>
  <w:style w:type="table" w:customStyle="1" w:styleId="11">
    <w:name w:val="网格型1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272</Words>
  <Characters>1556</Characters>
  <Lines>12</Lines>
  <Paragraphs>3</Paragraphs>
  <TotalTime>47</TotalTime>
  <ScaleCrop>false</ScaleCrop>
  <LinksUpToDate>false</LinksUpToDate>
  <CharactersWithSpaces>1825</CharactersWithSpaces>
  <Application>WPS Office_11.1.0.9996_F1E327BC-269C-435d-A152-05C5408002CA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2020-11-23T03:22:00Z</dcterms:created>
  <dc:creator>edu</dc:creator>
  <cp:lastModifiedBy>孙赛</cp:lastModifiedBy>
  <cp:lastPrinted>2020-12-08T08:02:00Z</cp:lastPrinted>
  <dcterms:modified xsi:type="dcterms:W3CDTF">2020-12-25T01:17:56Z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2052-11.1.0.9996</vt:lpwstr>
  </property>
</Properties>
</file>