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03" w:leftChars="-95" w:hanging="182" w:hangingChars="57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>
      <w:pPr>
        <w:jc w:val="center"/>
        <w:outlineLvl w:val="0"/>
        <w:rPr>
          <w:rFonts w:hint="eastAsia"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“不忘初心强信仰 牢记使命潜育人”高校教师党员</w:t>
      </w:r>
    </w:p>
    <w:p>
      <w:pPr>
        <w:jc w:val="center"/>
        <w:outlineLvl w:val="0"/>
        <w:rPr>
          <w:rFonts w:hint="eastAsia"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专题网络培训选修课程列表</w:t>
      </w:r>
    </w:p>
    <w:tbl>
      <w:tblPr>
        <w:tblStyle w:val="3"/>
        <w:tblW w:w="908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7"/>
        <w:gridCol w:w="990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87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一、更新教育理念 把牢育人方向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主讲人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单位与职务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中国教育信息化</w:t>
            </w:r>
            <w:r>
              <w:rPr>
                <w:rFonts w:eastAsia="仿宋"/>
                <w:kern w:val="0"/>
                <w:sz w:val="24"/>
                <w:szCs w:val="22"/>
              </w:rPr>
              <w:t>2.0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解读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任友群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教育部教师工作司司长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加强教师队伍建设 实现高校内涵发展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钟秉林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中国教育学会会长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6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贯彻落实全国教育大会精神 推动建设一流本科教育</w:t>
            </w:r>
          </w:p>
        </w:tc>
        <w:tc>
          <w:tcPr>
            <w:tcW w:w="9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马陆亭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教育部教育发展研究中心副主任、研究员，战略发展研究部主任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6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国内外大学人才培养模式的创新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周满生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教育部国家教育发展研究中心咨询委员会副主任、研究员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6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西南联大精神与大学发展理念文化反思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叶燎原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云南省人民政府参事，云南师范大学教授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87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二、优化教学方法 提高教学质量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主讲人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单位与职务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数字化教育教学资源的开发与应用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任友群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教育部教师工作司司长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6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我国本科教学存在的问题与对策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张树永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山东大学教学促进与教师发展中心主任、本科生院副院长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高等教育中的学习心理规律及其应用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姚梅林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北京师范大学心理学院教授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6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理解教与学：高校教学策略与教学评价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孙建荣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澳门科技大学协理副校长、国际学院院长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6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高校课堂教学评价的理论和方法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刘振天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教育部高等教育教学评估中心院校教学评估处处长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如何上好一堂课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吴能表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西南大学教务处处长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6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学习方式与有效教学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姚梅林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北京师范大学心理学院教授、博士生导师</w:t>
            </w:r>
          </w:p>
        </w:tc>
      </w:tr>
    </w:tbl>
    <w:p>
      <w:pPr>
        <w:widowControl/>
        <w:jc w:val="center"/>
        <w:rPr>
          <w:rFonts w:hint="eastAsia" w:ascii="仿宋" w:hAnsi="仿宋" w:eastAsia="仿宋" w:cs="宋体"/>
          <w:b/>
          <w:bCs/>
          <w:color w:val="000000"/>
          <w:kern w:val="0"/>
          <w:sz w:val="24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4"/>
        </w:rPr>
        <w:br w:type="page"/>
      </w:r>
    </w:p>
    <w:tbl>
      <w:tblPr>
        <w:tblStyle w:val="3"/>
        <w:tblW w:w="908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2"/>
        <w:gridCol w:w="990"/>
        <w:gridCol w:w="3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8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三、掌握科研方法 提升科研能力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6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主讲人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单位与职务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69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科研方法论与高校教师科研素养培育系列课程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张伟刚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南开大学教授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9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高科技前沿与热点问题分析：科技与高科技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罗喜胜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中国科学技术大学科研部部长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69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如何提升我们的科研能力</w:t>
            </w:r>
          </w:p>
        </w:tc>
        <w:tc>
          <w:tcPr>
            <w:tcW w:w="9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张  健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教育部职业技术教育中心研究所特聘研究员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69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高职教师如何开展教学研究与撰写教研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论文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陈  东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  <w:t>教育部高职高专机电设备技术类专业教学指导委员会秘书长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69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国家自然科学基金申报的思考和体会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赵书红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华中农业大学动物科技学院动物医学院副院长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9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如何在各类科研基金课题申报中取得成功</w:t>
            </w:r>
          </w:p>
        </w:tc>
        <w:tc>
          <w:tcPr>
            <w:tcW w:w="9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赵醒村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南方科技大学科技处副处长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87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四、提升教师素养 强化行为示范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6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99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主讲人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单位与职务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9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教师职业生涯规划的制定</w:t>
            </w:r>
          </w:p>
        </w:tc>
        <w:tc>
          <w:tcPr>
            <w:tcW w:w="9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傅树京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首都师范大学教授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69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压力管理与心理健康促进</w:t>
            </w:r>
          </w:p>
        </w:tc>
        <w:tc>
          <w:tcPr>
            <w:tcW w:w="9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樊富珉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清华大学社会科学学院心理学系副主任、教授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9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生存焦虑与人生幸福 </w:t>
            </w:r>
          </w:p>
        </w:tc>
        <w:tc>
          <w:tcPr>
            <w:tcW w:w="9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沈湘平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北京师范大学哲学学院教授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9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教师的文化素养</w:t>
            </w:r>
          </w:p>
        </w:tc>
        <w:tc>
          <w:tcPr>
            <w:tcW w:w="9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李  芒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北京师范大学教授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69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高校青年教师沟通巧技能</w:t>
            </w:r>
          </w:p>
        </w:tc>
        <w:tc>
          <w:tcPr>
            <w:tcW w:w="9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刘平青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北京理工大学管理与经济学院副院长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69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礼仪与沟通</w:t>
            </w:r>
          </w:p>
        </w:tc>
        <w:tc>
          <w:tcPr>
            <w:tcW w:w="9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李兴国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中共中央党校（国家行政学院）教授</w:t>
            </w:r>
          </w:p>
        </w:tc>
      </w:tr>
    </w:tbl>
    <w:p>
      <w:pPr>
        <w:ind w:left="-285" w:leftChars="-95"/>
        <w:jc w:val="left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说明：</w:t>
      </w:r>
      <w:r>
        <w:rPr>
          <w:rFonts w:eastAsia="楷体"/>
          <w:sz w:val="24"/>
        </w:rPr>
        <w:t>1.</w:t>
      </w:r>
      <w:r>
        <w:rPr>
          <w:rFonts w:hint="eastAsia" w:ascii="楷体" w:hAnsi="楷体" w:eastAsia="楷体"/>
          <w:sz w:val="24"/>
        </w:rPr>
        <w:t>个别课程或稍有调整，请以平台最终发布课程为准；</w:t>
      </w:r>
    </w:p>
    <w:p>
      <w:pPr>
        <w:ind w:left="-285" w:leftChars="-95" w:firstLine="720" w:firstLineChars="300"/>
        <w:jc w:val="left"/>
        <w:rPr>
          <w:rFonts w:hint="eastAsia" w:ascii="黑体" w:hAnsi="黑体" w:eastAsia="黑体"/>
          <w:sz w:val="28"/>
        </w:rPr>
      </w:pPr>
      <w:r>
        <w:rPr>
          <w:rFonts w:eastAsia="楷体"/>
          <w:sz w:val="24"/>
        </w:rPr>
        <w:t>2.</w:t>
      </w:r>
      <w:r>
        <w:rPr>
          <w:rFonts w:hint="eastAsia" w:ascii="楷体" w:hAnsi="楷体" w:eastAsia="楷体"/>
          <w:sz w:val="24"/>
        </w:rPr>
        <w:t>课程主讲人职务为课程录制时的职务。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5250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/xig一叶编舟</cp:lastModifiedBy>
  <dcterms:modified xsi:type="dcterms:W3CDTF">2019-05-29T03:02:52Z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