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大洼区新开学校在学校建设上需要解决的问题</w:t>
      </w:r>
    </w:p>
    <w:p>
      <w:pPr>
        <w:spacing w:line="560" w:lineRule="exact"/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我校在各项工作上，都取得了一定成绩，但同时也存在一些急需要在当今社会中如何打造品牌学校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解决的问题，存在着诸多困惑。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/>
          <w:sz w:val="32"/>
          <w:szCs w:val="32"/>
        </w:rPr>
        <w:t>要基于打造农村九年一贯制学校特色办学的策略方法。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2、基于提升农村九年一贯制学校教师队伍素养的策略。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3、基于提升农村九年一贯制学校课堂教学效果的策略。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希望领导和专家们为我校更好的发展指明道路宏观策略。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45EB7"/>
    <w:rsid w:val="04245EB7"/>
    <w:rsid w:val="4FC5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2019-10-29T01:53:00Z</dcterms:created>
  <dc:creator>Administrator</dc:creator>
  <cp:lastModifiedBy>Administrator</cp:lastModifiedBy>
  <dcterms:modified xsi:type="dcterms:W3CDTF">2019-10-31T02:22:03Z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